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18" w:rsidRPr="00C74978" w:rsidRDefault="0036705F" w:rsidP="006D6934">
      <w:pPr>
        <w:jc w:val="center"/>
        <w:rPr>
          <w:b/>
          <w:sz w:val="28"/>
          <w:szCs w:val="28"/>
        </w:rPr>
      </w:pPr>
      <w:r w:rsidRPr="00C74978">
        <w:rPr>
          <w:b/>
          <w:noProof/>
          <w:sz w:val="28"/>
          <w:szCs w:val="28"/>
        </w:rPr>
        <w:drawing>
          <wp:anchor distT="36576" distB="36576" distL="36576" distR="36576" simplePos="0" relativeHeight="251661311" behindDoc="1" locked="0" layoutInCell="1" allowOverlap="1">
            <wp:simplePos x="0" y="0"/>
            <wp:positionH relativeFrom="column">
              <wp:posOffset>5238750</wp:posOffset>
            </wp:positionH>
            <wp:positionV relativeFrom="paragraph">
              <wp:posOffset>-121920</wp:posOffset>
            </wp:positionV>
            <wp:extent cx="941070" cy="838200"/>
            <wp:effectExtent l="19050" t="0" r="0" b="0"/>
            <wp:wrapNone/>
            <wp:docPr id="1" name="Picture 8" descr="FCC Logo Small Gree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 Logo Small Green Only"/>
                    <pic:cNvPicPr>
                      <a:picLocks noChangeAspect="1" noChangeArrowheads="1"/>
                    </pic:cNvPicPr>
                  </pic:nvPicPr>
                  <pic:blipFill>
                    <a:blip r:embed="rId8" cstate="print"/>
                    <a:srcRect/>
                    <a:stretch>
                      <a:fillRect/>
                    </a:stretch>
                  </pic:blipFill>
                  <pic:spPr bwMode="auto">
                    <a:xfrm>
                      <a:off x="0" y="0"/>
                      <a:ext cx="941070" cy="838200"/>
                    </a:xfrm>
                    <a:prstGeom prst="rect">
                      <a:avLst/>
                    </a:prstGeom>
                    <a:noFill/>
                    <a:ln w="9525" algn="in">
                      <a:noFill/>
                      <a:miter lim="800000"/>
                      <a:headEnd/>
                      <a:tailEnd/>
                    </a:ln>
                    <a:effectLst/>
                  </pic:spPr>
                </pic:pic>
              </a:graphicData>
            </a:graphic>
          </wp:anchor>
        </w:drawing>
      </w:r>
      <w:r w:rsidR="00092718" w:rsidRPr="00C74978">
        <w:rPr>
          <w:b/>
          <w:sz w:val="28"/>
          <w:szCs w:val="28"/>
        </w:rPr>
        <w:t>Family Counseling Center, Inc.</w:t>
      </w:r>
    </w:p>
    <w:p w:rsidR="006D6934" w:rsidRPr="006D6934" w:rsidRDefault="006D6934" w:rsidP="006D6934">
      <w:pPr>
        <w:pStyle w:val="msoorganizationname2"/>
        <w:widowControl w:val="0"/>
        <w:jc w:val="center"/>
        <w:rPr>
          <w:rFonts w:ascii="Times New Roman" w:hAnsi="Times New Roman"/>
          <w:sz w:val="28"/>
          <w:szCs w:val="28"/>
        </w:rPr>
      </w:pPr>
      <w:r w:rsidRPr="006D6934">
        <w:rPr>
          <w:rFonts w:ascii="Pristina" w:hAnsi="Pristina"/>
          <w:color w:val="336600"/>
          <w:sz w:val="28"/>
          <w:szCs w:val="28"/>
        </w:rPr>
        <w:t>“Helping Others Help Themselves” since 1974</w:t>
      </w:r>
      <w:r w:rsidRPr="006D6934">
        <w:rPr>
          <w:sz w:val="28"/>
          <w:szCs w:val="28"/>
        </w:rPr>
        <w:t> </w:t>
      </w:r>
    </w:p>
    <w:p w:rsidR="00092718" w:rsidRPr="00AD733A" w:rsidRDefault="00092718" w:rsidP="0036705F">
      <w:pPr>
        <w:jc w:val="center"/>
        <w:rPr>
          <w:sz w:val="28"/>
          <w:szCs w:val="28"/>
        </w:rPr>
      </w:pPr>
    </w:p>
    <w:p w:rsidR="00092718" w:rsidRPr="00C74978" w:rsidRDefault="0002241F" w:rsidP="0036705F">
      <w:pPr>
        <w:jc w:val="center"/>
        <w:rPr>
          <w:b/>
          <w:sz w:val="28"/>
          <w:szCs w:val="28"/>
        </w:rPr>
      </w:pPr>
      <w:r w:rsidRPr="00C74978">
        <w:rPr>
          <w:b/>
          <w:sz w:val="28"/>
          <w:szCs w:val="28"/>
        </w:rPr>
        <w:t>FY15</w:t>
      </w:r>
      <w:r w:rsidR="00092718" w:rsidRPr="00C74978">
        <w:rPr>
          <w:b/>
          <w:sz w:val="28"/>
          <w:szCs w:val="28"/>
        </w:rPr>
        <w:t xml:space="preserve"> </w:t>
      </w:r>
      <w:r w:rsidR="00197030" w:rsidRPr="00C74978">
        <w:rPr>
          <w:b/>
          <w:sz w:val="28"/>
          <w:szCs w:val="28"/>
        </w:rPr>
        <w:t>O</w:t>
      </w:r>
      <w:r w:rsidR="00C74978" w:rsidRPr="00C74978">
        <w:rPr>
          <w:b/>
          <w:sz w:val="28"/>
          <w:szCs w:val="28"/>
        </w:rPr>
        <w:t>utcomes</w:t>
      </w:r>
      <w:r w:rsidR="00197030" w:rsidRPr="00C74978">
        <w:rPr>
          <w:b/>
          <w:sz w:val="28"/>
          <w:szCs w:val="28"/>
        </w:rPr>
        <w:t xml:space="preserve"> </w:t>
      </w:r>
      <w:r w:rsidR="00092718" w:rsidRPr="00C74978">
        <w:rPr>
          <w:b/>
          <w:sz w:val="28"/>
          <w:szCs w:val="28"/>
        </w:rPr>
        <w:t>P</w:t>
      </w:r>
      <w:r w:rsidR="00C74978" w:rsidRPr="00C74978">
        <w:rPr>
          <w:b/>
          <w:sz w:val="28"/>
          <w:szCs w:val="28"/>
        </w:rPr>
        <w:t>erformance</w:t>
      </w:r>
      <w:r w:rsidR="00092718" w:rsidRPr="00C74978">
        <w:rPr>
          <w:b/>
          <w:sz w:val="28"/>
          <w:szCs w:val="28"/>
        </w:rPr>
        <w:t xml:space="preserve"> </w:t>
      </w:r>
      <w:r w:rsidR="00197030" w:rsidRPr="00C74978">
        <w:rPr>
          <w:b/>
          <w:sz w:val="28"/>
          <w:szCs w:val="28"/>
        </w:rPr>
        <w:t>R</w:t>
      </w:r>
      <w:r w:rsidR="00C74978" w:rsidRPr="00C74978">
        <w:rPr>
          <w:b/>
          <w:sz w:val="28"/>
          <w:szCs w:val="28"/>
        </w:rPr>
        <w:t>eport</w:t>
      </w:r>
    </w:p>
    <w:p w:rsidR="00092718" w:rsidRPr="00C74978" w:rsidRDefault="0048523F" w:rsidP="0036705F">
      <w:pPr>
        <w:jc w:val="center"/>
        <w:rPr>
          <w:b/>
          <w:sz w:val="28"/>
          <w:szCs w:val="28"/>
        </w:rPr>
      </w:pPr>
      <w:r w:rsidRPr="00C74978">
        <w:rPr>
          <w:b/>
          <w:sz w:val="28"/>
          <w:szCs w:val="28"/>
        </w:rPr>
        <w:t>Review Period July 1, 2014 – June 30, 2015</w:t>
      </w:r>
    </w:p>
    <w:p w:rsidR="00092718" w:rsidRPr="00AD733A" w:rsidRDefault="00092718" w:rsidP="009B5067">
      <w:pPr>
        <w:rPr>
          <w:rStyle w:val="Hyperlink"/>
          <w:b/>
          <w:bCs/>
          <w:sz w:val="26"/>
          <w:szCs w:val="26"/>
        </w:rPr>
      </w:pPr>
    </w:p>
    <w:p w:rsidR="00092718" w:rsidRPr="006D6934" w:rsidRDefault="00092718" w:rsidP="009B5067">
      <w:pPr>
        <w:rPr>
          <w:rStyle w:val="Hyperlink"/>
          <w:b/>
          <w:bCs/>
        </w:rPr>
      </w:pPr>
      <w:r w:rsidRPr="006D6934">
        <w:rPr>
          <w:rStyle w:val="Hyperlink"/>
          <w:b/>
          <w:bCs/>
        </w:rPr>
        <w:t>Report Contents</w:t>
      </w:r>
    </w:p>
    <w:p w:rsidR="002F5DA5" w:rsidRPr="006D6934" w:rsidRDefault="002F5DA5" w:rsidP="002F5DA5">
      <w:pPr>
        <w:pStyle w:val="BlockText"/>
        <w:numPr>
          <w:ilvl w:val="0"/>
          <w:numId w:val="1"/>
        </w:numPr>
        <w:ind w:right="0"/>
        <w:contextualSpacing/>
        <w:jc w:val="left"/>
        <w:rPr>
          <w:rStyle w:val="Hyperlink"/>
          <w:b/>
          <w:bCs/>
          <w:caps/>
        </w:rPr>
      </w:pPr>
      <w:r w:rsidRPr="006D6934">
        <w:rPr>
          <w:rStyle w:val="Hyperlink"/>
          <w:b/>
          <w:bCs/>
          <w:caps/>
        </w:rPr>
        <w:t>INTRO</w:t>
      </w:r>
      <w:r w:rsidR="003755C0" w:rsidRPr="006D6934">
        <w:rPr>
          <w:rStyle w:val="Hyperlink"/>
          <w:b/>
          <w:bCs/>
          <w:caps/>
        </w:rPr>
        <w:t>DUC</w:t>
      </w:r>
      <w:r w:rsidRPr="006D6934">
        <w:rPr>
          <w:rStyle w:val="Hyperlink"/>
          <w:b/>
          <w:bCs/>
          <w:caps/>
        </w:rPr>
        <w:t>TION &amp; ASSURANCES</w:t>
      </w:r>
    </w:p>
    <w:p w:rsidR="002F5DA5" w:rsidRPr="006D6934" w:rsidRDefault="00EB361A" w:rsidP="002F5DA5">
      <w:pPr>
        <w:pStyle w:val="BlockText"/>
        <w:numPr>
          <w:ilvl w:val="0"/>
          <w:numId w:val="1"/>
        </w:numPr>
        <w:ind w:right="0"/>
        <w:contextualSpacing/>
        <w:jc w:val="left"/>
        <w:rPr>
          <w:rStyle w:val="Hyperlink"/>
          <w:b/>
          <w:bCs/>
          <w:caps/>
        </w:rPr>
      </w:pPr>
      <w:r w:rsidRPr="006D6934">
        <w:rPr>
          <w:rStyle w:val="Hyperlink"/>
          <w:b/>
          <w:bCs/>
          <w:caps/>
        </w:rPr>
        <w:t>EVALUATION of FY15</w:t>
      </w:r>
      <w:r w:rsidR="002F5DA5" w:rsidRPr="006D6934">
        <w:rPr>
          <w:rStyle w:val="Hyperlink"/>
          <w:b/>
          <w:bCs/>
          <w:caps/>
        </w:rPr>
        <w:t xml:space="preserve"> TARGETS</w:t>
      </w:r>
    </w:p>
    <w:p w:rsidR="002F5DA5" w:rsidRPr="006D6934" w:rsidRDefault="000403C1" w:rsidP="002F5DA5">
      <w:pPr>
        <w:pStyle w:val="BlockText"/>
        <w:numPr>
          <w:ilvl w:val="0"/>
          <w:numId w:val="1"/>
        </w:numPr>
        <w:ind w:right="0"/>
        <w:contextualSpacing/>
        <w:jc w:val="left"/>
        <w:rPr>
          <w:rStyle w:val="Hyperlink"/>
          <w:b/>
          <w:bCs/>
          <w:caps/>
        </w:rPr>
      </w:pPr>
      <w:r w:rsidRPr="006D6934">
        <w:rPr>
          <w:rStyle w:val="Hyperlink"/>
          <w:b/>
          <w:bCs/>
          <w:caps/>
        </w:rPr>
        <w:t>SUMMARY of OUTCOME MEASURES</w:t>
      </w:r>
    </w:p>
    <w:p w:rsidR="002F5DA5" w:rsidRPr="006D6934" w:rsidRDefault="002F5DA5" w:rsidP="002F5DA5">
      <w:pPr>
        <w:pStyle w:val="BlockText"/>
        <w:numPr>
          <w:ilvl w:val="0"/>
          <w:numId w:val="1"/>
        </w:numPr>
        <w:pBdr>
          <w:bottom w:val="single" w:sz="4" w:space="1" w:color="auto"/>
        </w:pBdr>
        <w:tabs>
          <w:tab w:val="left" w:pos="-1440"/>
          <w:tab w:val="left" w:pos="720"/>
        </w:tabs>
        <w:ind w:right="0"/>
        <w:contextualSpacing/>
        <w:jc w:val="left"/>
        <w:rPr>
          <w:rStyle w:val="Hyperlink"/>
          <w:b/>
          <w:bCs/>
          <w:caps/>
        </w:rPr>
      </w:pPr>
      <w:r w:rsidRPr="006D6934">
        <w:rPr>
          <w:rStyle w:val="Hyperlink"/>
          <w:b/>
          <w:bCs/>
          <w:caps/>
        </w:rPr>
        <w:t>FY</w:t>
      </w:r>
      <w:r w:rsidR="0048523F" w:rsidRPr="006D6934">
        <w:rPr>
          <w:rStyle w:val="Hyperlink"/>
          <w:b/>
          <w:bCs/>
          <w:caps/>
        </w:rPr>
        <w:t>15</w:t>
      </w:r>
      <w:r w:rsidRPr="006D6934">
        <w:rPr>
          <w:rStyle w:val="Hyperlink"/>
          <w:b/>
          <w:bCs/>
          <w:caps/>
        </w:rPr>
        <w:t xml:space="preserve"> DEMOGRAPHICS</w:t>
      </w:r>
    </w:p>
    <w:p w:rsidR="002F5DA5" w:rsidRPr="006D6934" w:rsidRDefault="0048523F" w:rsidP="002F5DA5">
      <w:pPr>
        <w:pStyle w:val="BlockText"/>
        <w:numPr>
          <w:ilvl w:val="0"/>
          <w:numId w:val="1"/>
        </w:numPr>
        <w:pBdr>
          <w:bottom w:val="single" w:sz="4" w:space="1" w:color="auto"/>
        </w:pBdr>
        <w:tabs>
          <w:tab w:val="left" w:pos="-1440"/>
          <w:tab w:val="left" w:pos="720"/>
        </w:tabs>
        <w:ind w:right="0"/>
        <w:contextualSpacing/>
        <w:jc w:val="left"/>
        <w:rPr>
          <w:rStyle w:val="Hyperlink"/>
          <w:b/>
          <w:bCs/>
          <w:caps/>
        </w:rPr>
      </w:pPr>
      <w:r w:rsidRPr="006D6934">
        <w:rPr>
          <w:rStyle w:val="Hyperlink"/>
          <w:b/>
          <w:bCs/>
          <w:caps/>
        </w:rPr>
        <w:t>FY16</w:t>
      </w:r>
      <w:r w:rsidR="002F5DA5" w:rsidRPr="006D6934">
        <w:rPr>
          <w:rStyle w:val="Hyperlink"/>
          <w:b/>
          <w:bCs/>
          <w:caps/>
        </w:rPr>
        <w:t xml:space="preserve"> TARGETS</w:t>
      </w:r>
    </w:p>
    <w:p w:rsidR="002F5DA5" w:rsidRPr="006D6934" w:rsidRDefault="002F5DA5" w:rsidP="002F5DA5">
      <w:pPr>
        <w:pStyle w:val="ListParagraph"/>
        <w:numPr>
          <w:ilvl w:val="0"/>
          <w:numId w:val="1"/>
        </w:numPr>
        <w:pBdr>
          <w:bottom w:val="single" w:sz="4" w:space="1" w:color="auto"/>
        </w:pBdr>
        <w:tabs>
          <w:tab w:val="left" w:pos="-1440"/>
          <w:tab w:val="left" w:pos="-720"/>
          <w:tab w:val="left" w:pos="720"/>
        </w:tabs>
        <w:jc w:val="left"/>
        <w:rPr>
          <w:b/>
          <w:bCs/>
          <w:caps/>
        </w:rPr>
      </w:pPr>
      <w:r w:rsidRPr="006D6934">
        <w:rPr>
          <w:b/>
          <w:caps/>
        </w:rPr>
        <w:t>PROGR</w:t>
      </w:r>
      <w:r w:rsidRPr="006D6934">
        <w:rPr>
          <w:b/>
          <w:bCs/>
          <w:caps/>
        </w:rPr>
        <w:t>A</w:t>
      </w:r>
      <w:r w:rsidRPr="006D6934">
        <w:rPr>
          <w:b/>
          <w:caps/>
        </w:rPr>
        <w:t>M DESCRIPTION</w:t>
      </w:r>
      <w:r w:rsidR="007B00DD" w:rsidRPr="006D6934">
        <w:rPr>
          <w:b/>
          <w:caps/>
        </w:rPr>
        <w:t>S</w:t>
      </w:r>
    </w:p>
    <w:p w:rsidR="006C77D0" w:rsidRPr="006D6934" w:rsidRDefault="006C77D0" w:rsidP="002F5DA5">
      <w:pPr>
        <w:pStyle w:val="ListParagraph"/>
        <w:numPr>
          <w:ilvl w:val="0"/>
          <w:numId w:val="1"/>
        </w:numPr>
        <w:pBdr>
          <w:bottom w:val="single" w:sz="4" w:space="1" w:color="auto"/>
        </w:pBdr>
        <w:tabs>
          <w:tab w:val="left" w:pos="-1440"/>
          <w:tab w:val="left" w:pos="-720"/>
          <w:tab w:val="left" w:pos="720"/>
        </w:tabs>
        <w:jc w:val="left"/>
        <w:rPr>
          <w:rStyle w:val="Hyperlink"/>
          <w:b/>
          <w:bCs/>
          <w:caps/>
        </w:rPr>
      </w:pPr>
      <w:r w:rsidRPr="006D6934">
        <w:rPr>
          <w:b/>
        </w:rPr>
        <w:t>ABBREVIATIONS  LIST</w:t>
      </w:r>
    </w:p>
    <w:p w:rsidR="002F5DA5" w:rsidRPr="00AD733A" w:rsidRDefault="002F5DA5" w:rsidP="002F5DA5">
      <w:pPr>
        <w:rPr>
          <w:rStyle w:val="Hyperlink"/>
          <w:color w:val="000000"/>
        </w:rPr>
      </w:pPr>
    </w:p>
    <w:p w:rsidR="00092718" w:rsidRPr="00AD733A" w:rsidRDefault="00092718" w:rsidP="002F5DA5">
      <w:pPr>
        <w:pStyle w:val="ListParagraph"/>
        <w:numPr>
          <w:ilvl w:val="0"/>
          <w:numId w:val="5"/>
        </w:numPr>
        <w:rPr>
          <w:rStyle w:val="Hyperlink"/>
          <w:color w:val="000000"/>
          <w:u w:val="single"/>
        </w:rPr>
      </w:pPr>
      <w:r w:rsidRPr="00AD733A">
        <w:rPr>
          <w:rStyle w:val="Hyperlink"/>
          <w:b/>
          <w:bCs/>
          <w:caps/>
          <w:u w:val="single"/>
        </w:rPr>
        <w:t>Introductio</w:t>
      </w:r>
      <w:r w:rsidR="00FF1EA8" w:rsidRPr="00AD733A">
        <w:rPr>
          <w:rStyle w:val="Hyperlink"/>
          <w:b/>
          <w:bCs/>
          <w:caps/>
          <w:u w:val="single"/>
        </w:rPr>
        <w:t>N &amp; ASSURANCES</w:t>
      </w:r>
    </w:p>
    <w:p w:rsidR="00197030" w:rsidRPr="00AD733A" w:rsidRDefault="00FF1EA8" w:rsidP="009B5067">
      <w:r w:rsidRPr="00AD733A">
        <w:t>It is the mission of Family Counseling Center, Inc</w:t>
      </w:r>
      <w:r w:rsidR="00D71417" w:rsidRPr="00AD733A">
        <w:t>.</w:t>
      </w:r>
      <w:r w:rsidRPr="00AD733A">
        <w:t xml:space="preserve"> (</w:t>
      </w:r>
      <w:r w:rsidR="00D71417" w:rsidRPr="00AD733A">
        <w:t>FCCI</w:t>
      </w:r>
      <w:r w:rsidRPr="00AD733A">
        <w:t>)</w:t>
      </w:r>
      <w:r w:rsidR="00971CF7" w:rsidRPr="00AD733A">
        <w:t xml:space="preserve"> to </w:t>
      </w:r>
      <w:r w:rsidRPr="00AD733A">
        <w:t xml:space="preserve">improve the quality of life </w:t>
      </w:r>
      <w:r w:rsidR="00BD577A" w:rsidRPr="00AD733A">
        <w:t xml:space="preserve">of persons in need of </w:t>
      </w:r>
      <w:r w:rsidRPr="00AD733A">
        <w:t>mental health, substance abuse, housing, senior living, child welfare, and intellectual and disability services.  A catch phrase typicall</w:t>
      </w:r>
      <w:r w:rsidR="00971CF7" w:rsidRPr="00AD733A">
        <w:t>y u</w:t>
      </w:r>
      <w:r w:rsidR="00085B9B" w:rsidRPr="00AD733A">
        <w:t xml:space="preserve">sed by </w:t>
      </w:r>
      <w:r w:rsidR="00D71417" w:rsidRPr="00AD733A">
        <w:t>FCCI</w:t>
      </w:r>
      <w:r w:rsidR="00085B9B" w:rsidRPr="00AD733A">
        <w:t xml:space="preserve"> is “Helping others</w:t>
      </w:r>
      <w:r w:rsidRPr="00AD733A">
        <w:t xml:space="preserve"> help themselves.”  </w:t>
      </w:r>
      <w:r w:rsidR="00E971B1" w:rsidRPr="00AD733A">
        <w:t xml:space="preserve">Our primary focus is to reduce the severity of mental health symptoms, promote self awareness for those with intellectual disabilities and provide safe, quality housing for our residential clients. </w:t>
      </w:r>
      <w:r w:rsidR="00D40FBE" w:rsidRPr="00AD733A">
        <w:t xml:space="preserve">Each of </w:t>
      </w:r>
      <w:r w:rsidR="00D71417" w:rsidRPr="00AD733A">
        <w:t>FCCI</w:t>
      </w:r>
      <w:r w:rsidRPr="00AD733A">
        <w:t xml:space="preserve"> programs philosophy and service imp</w:t>
      </w:r>
      <w:r w:rsidR="00D40FBE" w:rsidRPr="00AD733A">
        <w:t>lementation totally supports the agency</w:t>
      </w:r>
      <w:r w:rsidRPr="00AD733A">
        <w:t xml:space="preserve"> mission and primary core values of individualization, growth based upon strengths and protection of rights.  </w:t>
      </w:r>
    </w:p>
    <w:p w:rsidR="00197030" w:rsidRPr="00AD733A" w:rsidRDefault="00197030" w:rsidP="009B5067"/>
    <w:p w:rsidR="00FF1EA8" w:rsidRPr="00AD733A" w:rsidRDefault="00FF1EA8" w:rsidP="009B5067">
      <w:r w:rsidRPr="00AD733A">
        <w:t xml:space="preserve">Although </w:t>
      </w:r>
      <w:r w:rsidR="00D71417" w:rsidRPr="00AD733A">
        <w:t>FCCI</w:t>
      </w:r>
      <w:r w:rsidRPr="00AD733A">
        <w:t xml:space="preserve"> performance indicators are monitored </w:t>
      </w:r>
      <w:r w:rsidR="006E08F4" w:rsidRPr="00AD733A">
        <w:t xml:space="preserve">and addressed </w:t>
      </w:r>
      <w:r w:rsidRPr="00AD733A">
        <w:t>on an ongoing basis, for t</w:t>
      </w:r>
      <w:r w:rsidR="00971CF7" w:rsidRPr="00AD733A">
        <w:t>his report</w:t>
      </w:r>
      <w:r w:rsidR="004A2665" w:rsidRPr="00AD733A">
        <w:t>,</w:t>
      </w:r>
      <w:r w:rsidR="00D71417" w:rsidRPr="00AD733A">
        <w:t xml:space="preserve"> the snap shot of FY15</w:t>
      </w:r>
      <w:r w:rsidRPr="00AD733A">
        <w:t xml:space="preserve"> service </w:t>
      </w:r>
      <w:r w:rsidR="006E08F4" w:rsidRPr="00AD733A">
        <w:t xml:space="preserve">comparison data is </w:t>
      </w:r>
      <w:r w:rsidR="00D40FBE" w:rsidRPr="00AD733A">
        <w:t>July 1, 201</w:t>
      </w:r>
      <w:r w:rsidR="0048523F" w:rsidRPr="00AD733A">
        <w:t>4</w:t>
      </w:r>
      <w:r w:rsidR="00D40FBE" w:rsidRPr="00AD733A">
        <w:t xml:space="preserve"> through</w:t>
      </w:r>
      <w:r w:rsidRPr="00AD733A">
        <w:t xml:space="preserve"> June 30, 20</w:t>
      </w:r>
      <w:r w:rsidR="0048523F" w:rsidRPr="00AD733A">
        <w:t>15</w:t>
      </w:r>
      <w:r w:rsidRPr="00AD733A">
        <w:t>.  Th</w:t>
      </w:r>
      <w:r w:rsidR="00971CF7" w:rsidRPr="00AD733A">
        <w:t xml:space="preserve">is data is gathered throughout </w:t>
      </w:r>
      <w:r w:rsidRPr="00AD733A">
        <w:t>a client’s stay</w:t>
      </w:r>
      <w:r w:rsidR="00EA5BB3" w:rsidRPr="00AD733A">
        <w:t xml:space="preserve"> with FCCI beginning with</w:t>
      </w:r>
      <w:r w:rsidR="00D309B1" w:rsidRPr="00AD733A">
        <w:t xml:space="preserve"> referral, through services</w:t>
      </w:r>
      <w:r w:rsidR="00EA5BB3" w:rsidRPr="00AD733A">
        <w:t xml:space="preserve"> received</w:t>
      </w:r>
      <w:r w:rsidR="00D309B1" w:rsidRPr="00AD733A">
        <w:t xml:space="preserve"> </w:t>
      </w:r>
      <w:r w:rsidR="00971CF7" w:rsidRPr="00AD733A">
        <w:t>and after discharge</w:t>
      </w:r>
      <w:r w:rsidRPr="00AD733A">
        <w:t>.  Targets are established that address the entire spectrum of the agency: client</w:t>
      </w:r>
      <w:r w:rsidR="0073142A" w:rsidRPr="00AD733A">
        <w:t>s</w:t>
      </w:r>
      <w:r w:rsidRPr="00AD733A">
        <w:t>, staff</w:t>
      </w:r>
      <w:r w:rsidR="006E08F4" w:rsidRPr="00AD733A">
        <w:t>,</w:t>
      </w:r>
      <w:r w:rsidRPr="00AD733A">
        <w:t xml:space="preserve"> and stakeholders.  </w:t>
      </w:r>
      <w:r w:rsidR="00D71417" w:rsidRPr="00AD733A">
        <w:t>FCCI</w:t>
      </w:r>
      <w:r w:rsidRPr="00AD733A">
        <w:t xml:space="preserve"> is committed to the collection of data that is reliable, valid, complete and accurate.</w:t>
      </w:r>
    </w:p>
    <w:p w:rsidR="00FF1EA8" w:rsidRPr="00AD733A" w:rsidRDefault="00FF1EA8" w:rsidP="009B5067"/>
    <w:p w:rsidR="00642F55" w:rsidRPr="00AD733A" w:rsidRDefault="00D71417" w:rsidP="009B5067">
      <w:r w:rsidRPr="00AD733A">
        <w:t>Information</w:t>
      </w:r>
      <w:r w:rsidR="0048523F" w:rsidRPr="00AD733A">
        <w:t xml:space="preserve"> for FY15</w:t>
      </w:r>
      <w:r w:rsidR="00642F55" w:rsidRPr="00AD733A">
        <w:t xml:space="preserve"> </w:t>
      </w:r>
      <w:r w:rsidR="00197030" w:rsidRPr="00AD733A">
        <w:t>Outcome</w:t>
      </w:r>
      <w:r w:rsidR="00E971B1" w:rsidRPr="00AD733A">
        <w:t>s</w:t>
      </w:r>
      <w:r w:rsidR="00197030" w:rsidRPr="00AD733A">
        <w:t xml:space="preserve"> </w:t>
      </w:r>
      <w:r w:rsidR="00E971B1" w:rsidRPr="00AD733A">
        <w:t xml:space="preserve">Performance </w:t>
      </w:r>
      <w:r w:rsidR="00197030" w:rsidRPr="00AD733A">
        <w:t>Report</w:t>
      </w:r>
      <w:r w:rsidR="00E971B1" w:rsidRPr="00AD733A">
        <w:t xml:space="preserve"> i</w:t>
      </w:r>
      <w:r w:rsidR="00642F55" w:rsidRPr="00AD733A">
        <w:t xml:space="preserve">s comprehensively gathered from existing </w:t>
      </w:r>
      <w:r w:rsidR="00197030" w:rsidRPr="00AD733A">
        <w:t xml:space="preserve">committees, </w:t>
      </w:r>
      <w:r w:rsidR="00642F55" w:rsidRPr="00AD733A">
        <w:t xml:space="preserve">plans / reports including but not limited to </w:t>
      </w:r>
      <w:r w:rsidRPr="00AD733A">
        <w:t>FCCI</w:t>
      </w:r>
      <w:r w:rsidR="00197030" w:rsidRPr="00AD733A">
        <w:t xml:space="preserve"> Consumer Advisory, </w:t>
      </w:r>
      <w:r w:rsidR="00642F55" w:rsidRPr="00AD733A">
        <w:t xml:space="preserve">Accessibility, </w:t>
      </w:r>
      <w:r w:rsidRPr="00AD733A">
        <w:t>FCCI</w:t>
      </w:r>
      <w:r w:rsidR="0048523F" w:rsidRPr="00AD733A">
        <w:t xml:space="preserve"> </w:t>
      </w:r>
      <w:r w:rsidR="00BB1A84" w:rsidRPr="00AD733A">
        <w:t xml:space="preserve">Goals &amp; Objectives, </w:t>
      </w:r>
      <w:r w:rsidR="00642F55" w:rsidRPr="00AD733A">
        <w:t>Health &amp; Safety, Risk Management, Strategic</w:t>
      </w:r>
      <w:r w:rsidRPr="00AD733A">
        <w:t xml:space="preserve"> Plan</w:t>
      </w:r>
      <w:r w:rsidR="00642F55" w:rsidRPr="00AD733A">
        <w:t>, Allocation</w:t>
      </w:r>
      <w:r w:rsidR="00E971B1" w:rsidRPr="00AD733A">
        <w:t xml:space="preserve"> Plan</w:t>
      </w:r>
      <w:r w:rsidRPr="00AD733A">
        <w:t>, Technology Plan</w:t>
      </w:r>
      <w:r w:rsidR="00642F55" w:rsidRPr="00AD733A">
        <w:t xml:space="preserve"> as well as Human Resources, industry trends, </w:t>
      </w:r>
      <w:r w:rsidRPr="00AD733A">
        <w:t xml:space="preserve">client’s </w:t>
      </w:r>
      <w:r w:rsidR="0048523F" w:rsidRPr="00AD733A">
        <w:t xml:space="preserve">clinical data </w:t>
      </w:r>
      <w:r w:rsidR="00642F55" w:rsidRPr="00AD733A">
        <w:t>and program data for incorporation into performance management</w:t>
      </w:r>
      <w:r w:rsidR="001B66CB" w:rsidRPr="00AD733A">
        <w:t xml:space="preserve"> indicators</w:t>
      </w:r>
      <w:r w:rsidR="00642F55" w:rsidRPr="00AD733A">
        <w:t>.  Satisfaction surveys (Clie</w:t>
      </w:r>
      <w:r w:rsidR="001D5A9A" w:rsidRPr="00AD733A">
        <w:t>nts / June</w:t>
      </w:r>
      <w:r w:rsidR="0048523F" w:rsidRPr="00AD733A">
        <w:t xml:space="preserve"> 2015</w:t>
      </w:r>
      <w:r w:rsidR="00197030" w:rsidRPr="00AD733A">
        <w:t>, Staff / May 201</w:t>
      </w:r>
      <w:r w:rsidR="0048523F" w:rsidRPr="00AD733A">
        <w:t>5</w:t>
      </w:r>
      <w:r w:rsidR="001D5A9A" w:rsidRPr="00AD733A">
        <w:t xml:space="preserve">, </w:t>
      </w:r>
      <w:r w:rsidRPr="00AD733A">
        <w:t>FCCI</w:t>
      </w:r>
      <w:r w:rsidR="001D5A9A" w:rsidRPr="00AD733A">
        <w:t xml:space="preserve"> Board / June 2015</w:t>
      </w:r>
      <w:r w:rsidR="00642F55" w:rsidRPr="00AD733A">
        <w:t xml:space="preserve"> and Stakeholders</w:t>
      </w:r>
      <w:r w:rsidR="00604244" w:rsidRPr="00AD733A">
        <w:t xml:space="preserve"> </w:t>
      </w:r>
      <w:r w:rsidR="0048523F" w:rsidRPr="00AD733A">
        <w:t>/ June 2015</w:t>
      </w:r>
      <w:r w:rsidR="00642F55" w:rsidRPr="00AD733A">
        <w:t xml:space="preserve">) were distributed and tallied.  Additionally, discharge data and medication effectiveness data are collected routinely throughout course of business.  Human Rights </w:t>
      </w:r>
      <w:r w:rsidR="00D40FBE" w:rsidRPr="00AD733A">
        <w:t xml:space="preserve">(right restrictions) </w:t>
      </w:r>
      <w:r w:rsidR="00642F55" w:rsidRPr="00AD733A">
        <w:t>and Behaviors Committees</w:t>
      </w:r>
      <w:r w:rsidR="00D40FBE" w:rsidRPr="00AD733A">
        <w:t xml:space="preserve"> (interventions and medications)</w:t>
      </w:r>
      <w:r w:rsidR="00642F55" w:rsidRPr="00AD733A">
        <w:t xml:space="preserve"> </w:t>
      </w:r>
      <w:r w:rsidR="0073142A" w:rsidRPr="00AD733A">
        <w:t>information is monitored</w:t>
      </w:r>
      <w:r w:rsidR="00EA5BB3" w:rsidRPr="00AD733A">
        <w:t xml:space="preserve"> quarterly.</w:t>
      </w:r>
    </w:p>
    <w:p w:rsidR="009A48E4" w:rsidRPr="00AD733A" w:rsidRDefault="009A48E4" w:rsidP="009B5067"/>
    <w:p w:rsidR="00642F55" w:rsidRPr="00AD733A" w:rsidRDefault="009A48E4" w:rsidP="009B5067">
      <w:r w:rsidRPr="00AD733A">
        <w:t>Within the agency structure for each of the services seeking accreditation, targets comprised of effectiveness, efficienc</w:t>
      </w:r>
      <w:r w:rsidR="006E3907" w:rsidRPr="00AD733A">
        <w:t>ies</w:t>
      </w:r>
      <w:r w:rsidR="00D71417" w:rsidRPr="00AD733A">
        <w:t>, satisfaction</w:t>
      </w:r>
      <w:r w:rsidR="006E3907" w:rsidRPr="00AD733A">
        <w:t xml:space="preserve"> and service access</w:t>
      </w:r>
      <w:r w:rsidRPr="00AD733A">
        <w:t xml:space="preserve"> </w:t>
      </w:r>
      <w:r w:rsidR="006E08F4" w:rsidRPr="00AD733A">
        <w:t xml:space="preserve">are </w:t>
      </w:r>
      <w:r w:rsidRPr="00AD733A">
        <w:t>establishe</w:t>
      </w:r>
      <w:r w:rsidR="00D553DB" w:rsidRPr="00AD733A">
        <w:t xml:space="preserve">d in an easy to understand mode, targeting </w:t>
      </w:r>
      <w:r w:rsidR="007459E9" w:rsidRPr="00AD733A">
        <w:t xml:space="preserve">performance improvement in </w:t>
      </w:r>
      <w:r w:rsidR="00D71417" w:rsidRPr="00AD733A">
        <w:t>FCCI</w:t>
      </w:r>
      <w:r w:rsidR="007459E9" w:rsidRPr="00AD733A">
        <w:t xml:space="preserve"> business functions and service delivery.</w:t>
      </w:r>
      <w:r w:rsidR="00D553DB" w:rsidRPr="00AD733A">
        <w:t xml:space="preserve">  Data to validate those targets is collected</w:t>
      </w:r>
      <w:r w:rsidR="0073142A" w:rsidRPr="00AD733A">
        <w:t>,</w:t>
      </w:r>
      <w:r w:rsidRPr="00AD733A">
        <w:t xml:space="preserve"> evaluated</w:t>
      </w:r>
      <w:r w:rsidR="0073142A" w:rsidRPr="00AD733A">
        <w:t xml:space="preserve"> and compared</w:t>
      </w:r>
      <w:r w:rsidR="006E08F4" w:rsidRPr="00AD733A">
        <w:t xml:space="preserve"> to show status or</w:t>
      </w:r>
      <w:r w:rsidR="007459E9" w:rsidRPr="00AD733A">
        <w:t xml:space="preserve"> condition</w:t>
      </w:r>
      <w:r w:rsidRPr="00AD733A">
        <w:t xml:space="preserve">. </w:t>
      </w:r>
      <w:r w:rsidR="009250EA" w:rsidRPr="00AD733A">
        <w:t xml:space="preserve">Responsibility for implementation of </w:t>
      </w:r>
      <w:r w:rsidR="00D553DB" w:rsidRPr="00AD733A">
        <w:t xml:space="preserve">identified targets is assigned to the management </w:t>
      </w:r>
      <w:r w:rsidR="00D553DB" w:rsidRPr="00AD733A">
        <w:lastRenderedPageBreak/>
        <w:t>staff within that program</w:t>
      </w:r>
      <w:r w:rsidR="003B5AC9" w:rsidRPr="00AD733A">
        <w:t xml:space="preserve"> </w:t>
      </w:r>
      <w:r w:rsidR="0073142A" w:rsidRPr="00AD733A">
        <w:t>for</w:t>
      </w:r>
      <w:r w:rsidR="003B5AC9" w:rsidRPr="00AD733A">
        <w:t xml:space="preserve"> oversight review</w:t>
      </w:r>
      <w:r w:rsidR="0073142A" w:rsidRPr="00AD733A">
        <w:t xml:space="preserve"> and course correction</w:t>
      </w:r>
      <w:r w:rsidR="00D553DB" w:rsidRPr="00AD733A">
        <w:t>.</w:t>
      </w:r>
      <w:r w:rsidR="009250EA" w:rsidRPr="00AD733A">
        <w:t xml:space="preserve"> </w:t>
      </w:r>
      <w:r w:rsidRPr="00AD733A">
        <w:t>Overall satisfaction of the staff, clients</w:t>
      </w:r>
      <w:r w:rsidR="006E08F4" w:rsidRPr="00AD733A">
        <w:t>, Board</w:t>
      </w:r>
      <w:r w:rsidR="001B7255" w:rsidRPr="00AD733A">
        <w:t xml:space="preserve"> and stake</w:t>
      </w:r>
      <w:r w:rsidRPr="00AD733A">
        <w:t>holders is sought routinely and analyzed</w:t>
      </w:r>
      <w:r w:rsidR="006E3907" w:rsidRPr="00AD733A">
        <w:t xml:space="preserve"> for</w:t>
      </w:r>
      <w:r w:rsidR="0073142A" w:rsidRPr="00AD733A">
        <w:t xml:space="preserve"> system </w:t>
      </w:r>
      <w:r w:rsidR="001143BB" w:rsidRPr="00AD733A">
        <w:t>improvements</w:t>
      </w:r>
      <w:r w:rsidRPr="00AD733A">
        <w:t>.</w:t>
      </w:r>
      <w:r w:rsidR="00D71417" w:rsidRPr="00AD733A">
        <w:t xml:space="preserve"> </w:t>
      </w:r>
      <w:r w:rsidRPr="00AD733A">
        <w:t xml:space="preserve">Variable demographics of </w:t>
      </w:r>
      <w:r w:rsidR="00D71417" w:rsidRPr="00AD733A">
        <w:t>FCCI</w:t>
      </w:r>
      <w:r w:rsidRPr="00AD733A">
        <w:t xml:space="preserve"> are summarized and compared for trends.  These </w:t>
      </w:r>
      <w:r w:rsidR="006E08F4" w:rsidRPr="00AD733A">
        <w:t xml:space="preserve">comprehensive </w:t>
      </w:r>
      <w:r w:rsidRPr="00AD733A">
        <w:t xml:space="preserve">efforts </w:t>
      </w:r>
      <w:r w:rsidR="00993537" w:rsidRPr="00AD733A">
        <w:t>we</w:t>
      </w:r>
      <w:r w:rsidR="007459E9" w:rsidRPr="00AD733A">
        <w:t xml:space="preserve">re solidified into actions and </w:t>
      </w:r>
      <w:r w:rsidRPr="00AD733A">
        <w:t>hav</w:t>
      </w:r>
      <w:r w:rsidR="007459E9" w:rsidRPr="00AD733A">
        <w:t>e brought the following results</w:t>
      </w:r>
      <w:r w:rsidR="00D71417" w:rsidRPr="00AD733A">
        <w:t>.</w:t>
      </w:r>
    </w:p>
    <w:p w:rsidR="007459E9" w:rsidRPr="00AD733A" w:rsidRDefault="007459E9" w:rsidP="009B5067">
      <w:pPr>
        <w:rPr>
          <w:b/>
          <w:sz w:val="28"/>
          <w:szCs w:val="28"/>
        </w:rPr>
      </w:pPr>
    </w:p>
    <w:p w:rsidR="002F5DA5" w:rsidRPr="00AD733A" w:rsidRDefault="00852727" w:rsidP="002F5DA5">
      <w:pPr>
        <w:pStyle w:val="ListParagraph"/>
        <w:numPr>
          <w:ilvl w:val="0"/>
          <w:numId w:val="5"/>
        </w:numPr>
        <w:rPr>
          <w:b/>
          <w:u w:val="single"/>
        </w:rPr>
      </w:pPr>
      <w:r w:rsidRPr="00AD733A">
        <w:rPr>
          <w:b/>
          <w:u w:val="single"/>
        </w:rPr>
        <w:t>E</w:t>
      </w:r>
      <w:r w:rsidR="00F81C35" w:rsidRPr="00AD733A">
        <w:rPr>
          <w:b/>
          <w:u w:val="single"/>
        </w:rPr>
        <w:t xml:space="preserve">VALUATION OF FY15 </w:t>
      </w:r>
      <w:r w:rsidR="002F5DA5" w:rsidRPr="00AD733A">
        <w:rPr>
          <w:b/>
          <w:u w:val="single"/>
        </w:rPr>
        <w:t>TARGETS</w:t>
      </w:r>
    </w:p>
    <w:p w:rsidR="00642F55" w:rsidRPr="00AD733A" w:rsidRDefault="00722D25" w:rsidP="009B5067">
      <w:r w:rsidRPr="00AD733A">
        <w:t xml:space="preserve">Of </w:t>
      </w:r>
      <w:r w:rsidR="001D5A9A" w:rsidRPr="00AD733A">
        <w:t>20</w:t>
      </w:r>
      <w:r w:rsidRPr="00AD733A">
        <w:t xml:space="preserve"> Targets </w:t>
      </w:r>
      <w:r w:rsidR="00642F55" w:rsidRPr="00AD733A">
        <w:t>establ</w:t>
      </w:r>
      <w:r w:rsidR="001D5A9A" w:rsidRPr="00AD733A">
        <w:t xml:space="preserve">ished for </w:t>
      </w:r>
      <w:r w:rsidRPr="00AD733A">
        <w:t>FY15 implementation, the</w:t>
      </w:r>
      <w:r w:rsidR="009A48E4" w:rsidRPr="00AD733A">
        <w:t xml:space="preserve"> review found</w:t>
      </w:r>
      <w:r w:rsidR="007459E9" w:rsidRPr="00AD733A">
        <w:t xml:space="preserve"> </w:t>
      </w:r>
      <w:r w:rsidRPr="00AD733A">
        <w:t>7</w:t>
      </w:r>
      <w:r w:rsidR="009A48E4" w:rsidRPr="00AD733A">
        <w:t xml:space="preserve"> met, </w:t>
      </w:r>
      <w:r w:rsidRPr="00AD733A">
        <w:t>6</w:t>
      </w:r>
      <w:r w:rsidR="003E21ED" w:rsidRPr="00AD733A">
        <w:t xml:space="preserve"> </w:t>
      </w:r>
      <w:r w:rsidR="006022EB" w:rsidRPr="00AD733A">
        <w:t>partially met</w:t>
      </w:r>
      <w:r w:rsidR="007459E9" w:rsidRPr="00AD733A">
        <w:t xml:space="preserve">, and </w:t>
      </w:r>
      <w:r w:rsidRPr="00AD733A">
        <w:t>7</w:t>
      </w:r>
      <w:r w:rsidR="003E21ED" w:rsidRPr="00AD733A">
        <w:t xml:space="preserve"> </w:t>
      </w:r>
      <w:r w:rsidR="00642F55" w:rsidRPr="00AD733A">
        <w:t xml:space="preserve">not met. </w:t>
      </w:r>
    </w:p>
    <w:p w:rsidR="00642F55" w:rsidRPr="00AD733A" w:rsidRDefault="00642F55" w:rsidP="009B5067"/>
    <w:p w:rsidR="00A03B3C" w:rsidRPr="00AD733A" w:rsidRDefault="00A03B3C" w:rsidP="009B5067">
      <w:pPr>
        <w:rPr>
          <w:b/>
        </w:rPr>
      </w:pPr>
      <w:r w:rsidRPr="00AD733A">
        <w:rPr>
          <w:b/>
        </w:rPr>
        <w:t>BEHAVIORAL HEALTH</w:t>
      </w:r>
      <w:r w:rsidR="007B00DD" w:rsidRPr="00AD733A">
        <w:rPr>
          <w:b/>
        </w:rPr>
        <w:t xml:space="preserve"> (BH)</w:t>
      </w:r>
    </w:p>
    <w:p w:rsidR="0074487E" w:rsidRPr="00AD733A" w:rsidRDefault="0074487E" w:rsidP="0074487E">
      <w:r w:rsidRPr="00AD733A">
        <w:t>Effectiveness Target MET</w:t>
      </w:r>
    </w:p>
    <w:p w:rsidR="00E86AC5" w:rsidRPr="00AD733A" w:rsidRDefault="00CB7C04" w:rsidP="00E86AC5">
      <w:pPr>
        <w:pStyle w:val="ListParagraph"/>
        <w:numPr>
          <w:ilvl w:val="0"/>
          <w:numId w:val="8"/>
        </w:numPr>
        <w:rPr>
          <w:i/>
        </w:rPr>
      </w:pPr>
      <w:proofErr w:type="gramStart"/>
      <w:r w:rsidRPr="00AD733A">
        <w:rPr>
          <w:i/>
        </w:rPr>
        <w:t>maintain</w:t>
      </w:r>
      <w:proofErr w:type="gramEnd"/>
      <w:r w:rsidRPr="00AD733A">
        <w:rPr>
          <w:i/>
        </w:rPr>
        <w:t xml:space="preserve"> at least 80% of </w:t>
      </w:r>
      <w:r w:rsidR="00E86AC5" w:rsidRPr="00AD733A">
        <w:rPr>
          <w:i/>
        </w:rPr>
        <w:t xml:space="preserve">child / children in </w:t>
      </w:r>
      <w:r w:rsidRPr="00AD733A">
        <w:rPr>
          <w:i/>
        </w:rPr>
        <w:t xml:space="preserve">their </w:t>
      </w:r>
      <w:r w:rsidR="00E86AC5" w:rsidRPr="00AD733A">
        <w:rPr>
          <w:i/>
        </w:rPr>
        <w:t>current foster care placements</w:t>
      </w:r>
      <w:r w:rsidRPr="00AD733A">
        <w:rPr>
          <w:i/>
        </w:rPr>
        <w:t>.</w:t>
      </w:r>
      <w:r w:rsidR="00E86AC5" w:rsidRPr="00AD733A">
        <w:rPr>
          <w:i/>
        </w:rPr>
        <w:t xml:space="preserve"> </w:t>
      </w:r>
      <w:r w:rsidR="00990CDF" w:rsidRPr="00AD733A">
        <w:t xml:space="preserve">Met 82%, 14 of 17 remained in </w:t>
      </w:r>
      <w:r w:rsidRPr="00AD733A">
        <w:t xml:space="preserve">one </w:t>
      </w:r>
      <w:r w:rsidR="00990CDF" w:rsidRPr="00AD733A">
        <w:t>foster care placement.</w:t>
      </w:r>
    </w:p>
    <w:p w:rsidR="00E86AC5" w:rsidRPr="00AD733A" w:rsidRDefault="00E86AC5" w:rsidP="0074487E"/>
    <w:p w:rsidR="0074487E" w:rsidRPr="00AD733A" w:rsidRDefault="0074487E" w:rsidP="0074487E">
      <w:r w:rsidRPr="00AD733A">
        <w:t>Effectiveness Target NOT MET</w:t>
      </w:r>
    </w:p>
    <w:p w:rsidR="00E86AC5" w:rsidRPr="00AD733A" w:rsidRDefault="00E86AC5" w:rsidP="00E86AC5">
      <w:pPr>
        <w:pStyle w:val="ListParagraph"/>
        <w:numPr>
          <w:ilvl w:val="0"/>
          <w:numId w:val="8"/>
        </w:numPr>
        <w:rPr>
          <w:i/>
        </w:rPr>
      </w:pPr>
      <w:proofErr w:type="gramStart"/>
      <w:r w:rsidRPr="00AD733A">
        <w:rPr>
          <w:i/>
        </w:rPr>
        <w:t>decrease</w:t>
      </w:r>
      <w:proofErr w:type="gramEnd"/>
      <w:r w:rsidRPr="00AD733A">
        <w:rPr>
          <w:i/>
        </w:rPr>
        <w:t xml:space="preserve"> documented “no show” rate by 2% per each of 4 BH program from established baseline.</w:t>
      </w:r>
      <w:r w:rsidR="00990CDF" w:rsidRPr="00AD733A">
        <w:t xml:space="preserve"> Partially met: </w:t>
      </w:r>
      <w:r w:rsidR="00990CDF" w:rsidRPr="00AD733A">
        <w:rPr>
          <w:u w:val="single"/>
        </w:rPr>
        <w:t>SA reduced from 275 to 209, 66%</w:t>
      </w:r>
      <w:r w:rsidR="00EF0D72" w:rsidRPr="00AD733A">
        <w:rPr>
          <w:u w:val="single"/>
        </w:rPr>
        <w:t xml:space="preserve"> reduction</w:t>
      </w:r>
      <w:r w:rsidR="00990CDF" w:rsidRPr="00AD733A">
        <w:rPr>
          <w:u w:val="single"/>
        </w:rPr>
        <w:t>;</w:t>
      </w:r>
      <w:r w:rsidR="00990CDF" w:rsidRPr="00AD733A">
        <w:t xml:space="preserve"> </w:t>
      </w:r>
      <w:r w:rsidR="00990CDF" w:rsidRPr="00AD733A">
        <w:rPr>
          <w:u w:val="single"/>
        </w:rPr>
        <w:t>MIOA reduced from 287 to 172, 26%</w:t>
      </w:r>
      <w:r w:rsidR="00EF0D72" w:rsidRPr="00AD733A">
        <w:rPr>
          <w:u w:val="single"/>
        </w:rPr>
        <w:t xml:space="preserve"> </w:t>
      </w:r>
      <w:r w:rsidR="004A07FF" w:rsidRPr="00AD733A">
        <w:rPr>
          <w:u w:val="single"/>
        </w:rPr>
        <w:t>reduction</w:t>
      </w:r>
      <w:r w:rsidR="00990CDF" w:rsidRPr="00AD733A">
        <w:rPr>
          <w:u w:val="single"/>
        </w:rPr>
        <w:t xml:space="preserve">; </w:t>
      </w:r>
      <w:r w:rsidR="00EF0D72" w:rsidRPr="00AD733A">
        <w:t xml:space="preserve">MIOY from 179 to 241 </w:t>
      </w:r>
      <w:proofErr w:type="gramStart"/>
      <w:r w:rsidR="00EF0D72" w:rsidRPr="00AD733A">
        <w:t>increase</w:t>
      </w:r>
      <w:proofErr w:type="gramEnd"/>
      <w:r w:rsidR="00EF0D72" w:rsidRPr="00AD733A">
        <w:t xml:space="preserve"> of</w:t>
      </w:r>
      <w:r w:rsidR="00990CDF" w:rsidRPr="00AD733A">
        <w:t xml:space="preserve"> 40% and SASS from 160 to 240 increase of 34 %.</w:t>
      </w:r>
    </w:p>
    <w:p w:rsidR="00E86AC5" w:rsidRPr="00AD733A" w:rsidRDefault="00E86AC5" w:rsidP="00E86AC5">
      <w:pPr>
        <w:pStyle w:val="ListParagraph"/>
        <w:numPr>
          <w:ilvl w:val="0"/>
          <w:numId w:val="8"/>
        </w:numPr>
        <w:rPr>
          <w:i/>
        </w:rPr>
      </w:pPr>
      <w:proofErr w:type="gramStart"/>
      <w:r w:rsidRPr="00AD733A">
        <w:rPr>
          <w:i/>
        </w:rPr>
        <w:t>increase</w:t>
      </w:r>
      <w:proofErr w:type="gramEnd"/>
      <w:r w:rsidRPr="00AD733A">
        <w:rPr>
          <w:i/>
        </w:rPr>
        <w:t xml:space="preserve"> </w:t>
      </w:r>
      <w:r w:rsidR="009320FA" w:rsidRPr="00AD733A">
        <w:rPr>
          <w:i/>
        </w:rPr>
        <w:t xml:space="preserve">met </w:t>
      </w:r>
      <w:r w:rsidR="00CB7C04" w:rsidRPr="00AD733A">
        <w:rPr>
          <w:i/>
        </w:rPr>
        <w:t xml:space="preserve">treatment plan </w:t>
      </w:r>
      <w:r w:rsidRPr="00AD733A">
        <w:rPr>
          <w:i/>
        </w:rPr>
        <w:t>objectives in residential CSR setting from 11 to 13.</w:t>
      </w:r>
      <w:r w:rsidR="00B73025" w:rsidRPr="00AD733A">
        <w:rPr>
          <w:i/>
        </w:rPr>
        <w:t xml:space="preserve"> </w:t>
      </w:r>
      <w:r w:rsidR="008E7C8F" w:rsidRPr="00AD733A">
        <w:t>Partially</w:t>
      </w:r>
      <w:r w:rsidR="00990CDF" w:rsidRPr="00AD733A">
        <w:t xml:space="preserve"> met</w:t>
      </w:r>
      <w:r w:rsidR="0073142A" w:rsidRPr="00AD733A">
        <w:t xml:space="preserve">, </w:t>
      </w:r>
      <w:r w:rsidR="00990CDF" w:rsidRPr="00AD733A">
        <w:t xml:space="preserve">increased met objectives from 11 to 12 but not the goal of 13. </w:t>
      </w:r>
    </w:p>
    <w:p w:rsidR="00E86AC5" w:rsidRPr="00AD733A" w:rsidRDefault="00E86AC5" w:rsidP="0074487E"/>
    <w:p w:rsidR="0074487E" w:rsidRPr="00AD733A" w:rsidRDefault="0074487E" w:rsidP="0074487E">
      <w:r w:rsidRPr="00AD733A">
        <w:t xml:space="preserve">Efficiency Target NOT MET </w:t>
      </w:r>
    </w:p>
    <w:p w:rsidR="00E86AC5" w:rsidRPr="00AD733A" w:rsidRDefault="00E86AC5" w:rsidP="00E86AC5">
      <w:pPr>
        <w:pStyle w:val="ListParagraph"/>
        <w:numPr>
          <w:ilvl w:val="0"/>
          <w:numId w:val="14"/>
        </w:numPr>
        <w:rPr>
          <w:i/>
        </w:rPr>
      </w:pPr>
      <w:proofErr w:type="gramStart"/>
      <w:r w:rsidRPr="00AD733A">
        <w:rPr>
          <w:i/>
        </w:rPr>
        <w:t>decrease</w:t>
      </w:r>
      <w:proofErr w:type="gramEnd"/>
      <w:r w:rsidRPr="00AD733A">
        <w:rPr>
          <w:i/>
        </w:rPr>
        <w:t xml:space="preserve"> the time from referral to service to 3 day for BH programs.</w:t>
      </w:r>
      <w:r w:rsidR="00EE76B2" w:rsidRPr="00AD733A">
        <w:rPr>
          <w:i/>
        </w:rPr>
        <w:t xml:space="preserve"> </w:t>
      </w:r>
      <w:r w:rsidR="00EE76B2" w:rsidRPr="00AD733A">
        <w:t>Not met</w:t>
      </w:r>
      <w:r w:rsidR="0073142A" w:rsidRPr="00AD733A">
        <w:t>,</w:t>
      </w:r>
      <w:r w:rsidR="00EE76B2" w:rsidRPr="00AD733A">
        <w:t xml:space="preserve"> Agency average 76 days: MI</w:t>
      </w:r>
      <w:r w:rsidR="003E4C21" w:rsidRPr="00AD733A">
        <w:t>O</w:t>
      </w:r>
      <w:r w:rsidR="00EE76B2" w:rsidRPr="00AD733A">
        <w:t>A 79.27 days; MIOY 73.12 days.</w:t>
      </w:r>
    </w:p>
    <w:p w:rsidR="00E86AC5" w:rsidRPr="00AD733A" w:rsidRDefault="00E86AC5" w:rsidP="00E86AC5">
      <w:pPr>
        <w:pStyle w:val="ListParagraph"/>
        <w:numPr>
          <w:ilvl w:val="0"/>
          <w:numId w:val="14"/>
        </w:numPr>
      </w:pPr>
      <w:proofErr w:type="gramStart"/>
      <w:r w:rsidRPr="00AD733A">
        <w:rPr>
          <w:i/>
        </w:rPr>
        <w:t>increase</w:t>
      </w:r>
      <w:proofErr w:type="gramEnd"/>
      <w:r w:rsidRPr="00AD733A">
        <w:rPr>
          <w:i/>
        </w:rPr>
        <w:t xml:space="preserve"> % of clients participating in at least 10 sessions after first 30 days from 28.2% to 30% for </w:t>
      </w:r>
      <w:r w:rsidR="003E4C21" w:rsidRPr="00AD733A">
        <w:rPr>
          <w:i/>
        </w:rPr>
        <w:t>A</w:t>
      </w:r>
      <w:r w:rsidRPr="00AD733A">
        <w:rPr>
          <w:i/>
        </w:rPr>
        <w:t>SA program.</w:t>
      </w:r>
      <w:r w:rsidR="00923AA0" w:rsidRPr="00AD733A">
        <w:t xml:space="preserve"> </w:t>
      </w:r>
      <w:r w:rsidR="0073142A" w:rsidRPr="00AD733A">
        <w:t>Not m</w:t>
      </w:r>
      <w:r w:rsidR="00722D25" w:rsidRPr="00AD733A">
        <w:t>et</w:t>
      </w:r>
      <w:r w:rsidR="0073142A" w:rsidRPr="00AD733A">
        <w:t xml:space="preserve">, DASA </w:t>
      </w:r>
      <w:r w:rsidR="003E4C21" w:rsidRPr="00AD733A">
        <w:t>A</w:t>
      </w:r>
      <w:r w:rsidR="00923AA0" w:rsidRPr="00AD733A">
        <w:t xml:space="preserve">SA Data report </w:t>
      </w:r>
      <w:r w:rsidR="0073142A" w:rsidRPr="00AD733A">
        <w:t>is late</w:t>
      </w:r>
      <w:r w:rsidR="00923AA0" w:rsidRPr="00AD733A">
        <w:t xml:space="preserve"> thus </w:t>
      </w:r>
      <w:r w:rsidR="0073142A" w:rsidRPr="00AD733A">
        <w:t>will show</w:t>
      </w:r>
      <w:r w:rsidR="00923AA0" w:rsidRPr="00AD733A">
        <w:t xml:space="preserve"> objective as not met.  Will correct once outcome </w:t>
      </w:r>
      <w:r w:rsidR="0073142A" w:rsidRPr="00AD733A">
        <w:t xml:space="preserve">is </w:t>
      </w:r>
      <w:r w:rsidR="00923AA0" w:rsidRPr="00AD733A">
        <w:t>known.</w:t>
      </w:r>
      <w:r w:rsidR="00937986">
        <w:t xml:space="preserve">  Update 2-1-15: Not met DASA data report shows a decrease in FCCI SA program from 28.2% to 19%.  </w:t>
      </w:r>
    </w:p>
    <w:p w:rsidR="00E86AC5" w:rsidRPr="00AD733A" w:rsidRDefault="00E86AC5" w:rsidP="0074487E"/>
    <w:p w:rsidR="0074487E" w:rsidRPr="00AD733A" w:rsidRDefault="0074487E" w:rsidP="0074487E">
      <w:pPr>
        <w:rPr>
          <w:i/>
        </w:rPr>
      </w:pPr>
      <w:r w:rsidRPr="00AD733A">
        <w:t>Service Access Target NOT MET</w:t>
      </w:r>
      <w:r w:rsidRPr="00AD733A">
        <w:rPr>
          <w:i/>
        </w:rPr>
        <w:t xml:space="preserve"> </w:t>
      </w:r>
    </w:p>
    <w:p w:rsidR="00E86AC5" w:rsidRPr="00AD733A" w:rsidRDefault="00E86AC5" w:rsidP="00E86AC5">
      <w:pPr>
        <w:pStyle w:val="ListParagraph"/>
        <w:numPr>
          <w:ilvl w:val="0"/>
          <w:numId w:val="16"/>
        </w:numPr>
        <w:rPr>
          <w:i/>
        </w:rPr>
      </w:pPr>
      <w:proofErr w:type="gramStart"/>
      <w:r w:rsidRPr="00AD733A">
        <w:rPr>
          <w:i/>
        </w:rPr>
        <w:t>move</w:t>
      </w:r>
      <w:proofErr w:type="gramEnd"/>
      <w:r w:rsidRPr="00AD733A">
        <w:rPr>
          <w:i/>
        </w:rPr>
        <w:t xml:space="preserve"> clients from SA waiting list to service within 10 days of referral.</w:t>
      </w:r>
      <w:r w:rsidR="00EE76B2" w:rsidRPr="00AD733A">
        <w:t xml:space="preserve"> Not met</w:t>
      </w:r>
      <w:r w:rsidR="0073142A" w:rsidRPr="00AD733A">
        <w:t>,</w:t>
      </w:r>
      <w:r w:rsidR="00EE76B2" w:rsidRPr="00AD733A">
        <w:t xml:space="preserve"> on average 17 days.</w:t>
      </w:r>
    </w:p>
    <w:p w:rsidR="00E86AC5" w:rsidRPr="00AD733A" w:rsidRDefault="00E86AC5" w:rsidP="00E86AC5">
      <w:pPr>
        <w:pStyle w:val="ListParagraph"/>
        <w:numPr>
          <w:ilvl w:val="0"/>
          <w:numId w:val="16"/>
        </w:numPr>
        <w:rPr>
          <w:i/>
        </w:rPr>
      </w:pPr>
      <w:r w:rsidRPr="00AD733A">
        <w:rPr>
          <w:i/>
        </w:rPr>
        <w:t xml:space="preserve">99% occupancy rate for residential CSR home. </w:t>
      </w:r>
      <w:r w:rsidR="00EE76B2" w:rsidRPr="00AD733A">
        <w:t>Not met</w:t>
      </w:r>
      <w:r w:rsidR="0073142A" w:rsidRPr="00AD733A">
        <w:t>,</w:t>
      </w:r>
      <w:r w:rsidR="00EE76B2" w:rsidRPr="00AD733A">
        <w:t xml:space="preserve"> 94% occupancy rate.</w:t>
      </w:r>
    </w:p>
    <w:p w:rsidR="0074487E" w:rsidRPr="00AD733A" w:rsidRDefault="0074487E" w:rsidP="001D5A9A"/>
    <w:p w:rsidR="001D5A9A" w:rsidRPr="00AD733A" w:rsidRDefault="001D5A9A" w:rsidP="001D5A9A">
      <w:pPr>
        <w:pStyle w:val="BodyTextIndent2"/>
        <w:ind w:left="0"/>
        <w:rPr>
          <w:rFonts w:ascii="Times New Roman" w:hAnsi="Times New Roman"/>
          <w:b/>
        </w:rPr>
      </w:pPr>
      <w:r w:rsidRPr="00AD733A">
        <w:rPr>
          <w:rFonts w:ascii="Times New Roman" w:hAnsi="Times New Roman"/>
          <w:b/>
        </w:rPr>
        <w:t>DEVELOPMENTAL SERVICES</w:t>
      </w:r>
    </w:p>
    <w:p w:rsidR="0074487E" w:rsidRPr="00AD733A" w:rsidRDefault="0074487E" w:rsidP="0074487E">
      <w:r w:rsidRPr="00AD733A">
        <w:t>Effectiveness Target MET</w:t>
      </w:r>
    </w:p>
    <w:p w:rsidR="00E86AC5" w:rsidRPr="00AD733A" w:rsidRDefault="00E86AC5" w:rsidP="00E86AC5">
      <w:pPr>
        <w:pStyle w:val="ListParagraph"/>
        <w:numPr>
          <w:ilvl w:val="0"/>
          <w:numId w:val="17"/>
        </w:numPr>
        <w:rPr>
          <w:i/>
        </w:rPr>
      </w:pPr>
      <w:proofErr w:type="gramStart"/>
      <w:r w:rsidRPr="00AD733A">
        <w:rPr>
          <w:i/>
        </w:rPr>
        <w:t>increase</w:t>
      </w:r>
      <w:proofErr w:type="gramEnd"/>
      <w:r w:rsidRPr="00AD733A">
        <w:rPr>
          <w:i/>
        </w:rPr>
        <w:t xml:space="preserve"> overall ICAP scores for CILA programs. </w:t>
      </w:r>
      <w:r w:rsidR="0073142A" w:rsidRPr="00AD733A">
        <w:t>Met, d</w:t>
      </w:r>
      <w:r w:rsidR="009B0830" w:rsidRPr="00AD733A">
        <w:t xml:space="preserve">ata </w:t>
      </w:r>
      <w:r w:rsidR="003C23FF" w:rsidRPr="00AD733A">
        <w:t>showed</w:t>
      </w:r>
      <w:r w:rsidR="003E4C21" w:rsidRPr="00AD733A">
        <w:t xml:space="preserve"> </w:t>
      </w:r>
      <w:r w:rsidR="003C23FF" w:rsidRPr="00AD733A">
        <w:t>+</w:t>
      </w:r>
      <w:r w:rsidR="009B0830" w:rsidRPr="00AD733A">
        <w:t>15 points in ICAP score.</w:t>
      </w:r>
    </w:p>
    <w:p w:rsidR="0074487E" w:rsidRPr="00AD733A" w:rsidRDefault="0074487E" w:rsidP="0074487E"/>
    <w:p w:rsidR="0074487E" w:rsidRPr="00AD733A" w:rsidRDefault="0074487E" w:rsidP="0074487E">
      <w:r w:rsidRPr="00AD733A">
        <w:t>Effectiveness Target NOT MET</w:t>
      </w:r>
    </w:p>
    <w:p w:rsidR="00E86AC5" w:rsidRPr="00AD733A" w:rsidRDefault="00E86AC5" w:rsidP="00E86AC5">
      <w:pPr>
        <w:pStyle w:val="ListParagraph"/>
        <w:numPr>
          <w:ilvl w:val="0"/>
          <w:numId w:val="17"/>
        </w:numPr>
        <w:rPr>
          <w:i/>
        </w:rPr>
      </w:pPr>
      <w:proofErr w:type="gramStart"/>
      <w:r w:rsidRPr="00AD733A">
        <w:rPr>
          <w:i/>
        </w:rPr>
        <w:t>increase</w:t>
      </w:r>
      <w:proofErr w:type="gramEnd"/>
      <w:r w:rsidRPr="00AD733A">
        <w:rPr>
          <w:i/>
        </w:rPr>
        <w:t xml:space="preserve"> work wages for 10 clients by 3% increase in DT programs. </w:t>
      </w:r>
      <w:r w:rsidR="001651EF" w:rsidRPr="00AD733A">
        <w:t>Partially met</w:t>
      </w:r>
      <w:r w:rsidR="0073142A" w:rsidRPr="00AD733A">
        <w:t>,</w:t>
      </w:r>
      <w:r w:rsidR="001651EF" w:rsidRPr="00AD733A">
        <w:t xml:space="preserve"> d</w:t>
      </w:r>
      <w:r w:rsidR="00923AA0" w:rsidRPr="00AD733A">
        <w:t>ata shows 13 client had an increase but overall wages went down by cumulative dollar of $20.69.  Revise goal recommended</w:t>
      </w:r>
      <w:r w:rsidR="003C23FF" w:rsidRPr="00AD733A">
        <w:t xml:space="preserve"> for monitoring cumulative wage dollars</w:t>
      </w:r>
      <w:r w:rsidR="00923AA0" w:rsidRPr="00AD733A">
        <w:t>.</w:t>
      </w:r>
      <w:r w:rsidRPr="00AD733A">
        <w:rPr>
          <w:i/>
        </w:rPr>
        <w:t xml:space="preserve"> </w:t>
      </w:r>
    </w:p>
    <w:p w:rsidR="009B0830" w:rsidRPr="00AD733A" w:rsidRDefault="009B0830" w:rsidP="009B0830">
      <w:pPr>
        <w:pStyle w:val="ListParagraph"/>
        <w:numPr>
          <w:ilvl w:val="0"/>
          <w:numId w:val="17"/>
        </w:numPr>
        <w:rPr>
          <w:i/>
        </w:rPr>
      </w:pPr>
      <w:proofErr w:type="gramStart"/>
      <w:r w:rsidRPr="00AD733A">
        <w:rPr>
          <w:i/>
        </w:rPr>
        <w:t>increase</w:t>
      </w:r>
      <w:proofErr w:type="gramEnd"/>
      <w:r w:rsidRPr="00AD733A">
        <w:rPr>
          <w:i/>
        </w:rPr>
        <w:t xml:space="preserve"> in overall ICAP score for HBS program.</w:t>
      </w:r>
      <w:r w:rsidRPr="00AD733A">
        <w:t xml:space="preserve"> Not met</w:t>
      </w:r>
      <w:r w:rsidR="0073142A" w:rsidRPr="00AD733A">
        <w:t>,</w:t>
      </w:r>
      <w:r w:rsidRPr="00AD733A">
        <w:t xml:space="preserve"> HBS showed a 12 point decrease in overall ICAP scores</w:t>
      </w:r>
      <w:r w:rsidR="00E24B59" w:rsidRPr="00AD733A">
        <w:t>.</w:t>
      </w:r>
    </w:p>
    <w:p w:rsidR="0074487E" w:rsidRPr="00AD733A" w:rsidRDefault="0074487E" w:rsidP="0074487E"/>
    <w:p w:rsidR="0074487E" w:rsidRPr="00AD733A" w:rsidRDefault="0074487E" w:rsidP="0074487E">
      <w:r w:rsidRPr="00AD733A">
        <w:t xml:space="preserve">Efficiency Target MET </w:t>
      </w:r>
    </w:p>
    <w:p w:rsidR="0074487E" w:rsidRPr="00AD733A" w:rsidRDefault="00E86AC5" w:rsidP="00FD0BDA">
      <w:pPr>
        <w:pStyle w:val="ListParagraph"/>
        <w:numPr>
          <w:ilvl w:val="0"/>
          <w:numId w:val="18"/>
        </w:numPr>
      </w:pPr>
      <w:r w:rsidRPr="00AD733A">
        <w:rPr>
          <w:i/>
        </w:rPr>
        <w:lastRenderedPageBreak/>
        <w:t>99% of clients served in their home / community for the HBS program.</w:t>
      </w:r>
      <w:r w:rsidR="00923AA0" w:rsidRPr="00AD733A">
        <w:t xml:space="preserve"> Me</w:t>
      </w:r>
      <w:r w:rsidR="00CB7C04" w:rsidRPr="00AD733A">
        <w:t>t</w:t>
      </w:r>
      <w:r w:rsidR="0073142A" w:rsidRPr="00AD733A">
        <w:t xml:space="preserve">, </w:t>
      </w:r>
      <w:r w:rsidR="00923AA0" w:rsidRPr="00AD733A">
        <w:t xml:space="preserve">no </w:t>
      </w:r>
      <w:r w:rsidR="003C23FF" w:rsidRPr="00AD733A">
        <w:t xml:space="preserve">HBS </w:t>
      </w:r>
      <w:r w:rsidR="00CB7C04" w:rsidRPr="00AD733A">
        <w:t xml:space="preserve">clients </w:t>
      </w:r>
      <w:r w:rsidR="003C23FF" w:rsidRPr="00AD733A">
        <w:t>discharges t</w:t>
      </w:r>
      <w:r w:rsidR="00CB7C04" w:rsidRPr="00AD733A">
        <w:t>o a more restrictive environment</w:t>
      </w:r>
      <w:r w:rsidR="00923AA0" w:rsidRPr="00AD733A">
        <w:t xml:space="preserve">. </w:t>
      </w:r>
    </w:p>
    <w:p w:rsidR="00923AA0" w:rsidRPr="00AD733A" w:rsidRDefault="00923AA0" w:rsidP="0074487E"/>
    <w:p w:rsidR="0074487E" w:rsidRPr="00AD733A" w:rsidRDefault="0074487E" w:rsidP="0074487E">
      <w:r w:rsidRPr="00AD733A">
        <w:t xml:space="preserve">Efficiency Target NOT MET </w:t>
      </w:r>
    </w:p>
    <w:p w:rsidR="00E86AC5" w:rsidRPr="00AD733A" w:rsidRDefault="00E86AC5" w:rsidP="00E86AC5">
      <w:pPr>
        <w:pStyle w:val="ListParagraph"/>
        <w:numPr>
          <w:ilvl w:val="0"/>
          <w:numId w:val="18"/>
        </w:numPr>
        <w:rPr>
          <w:i/>
        </w:rPr>
      </w:pPr>
      <w:r w:rsidRPr="00AD733A">
        <w:rPr>
          <w:i/>
        </w:rPr>
        <w:t>99% attendance rate for DT and CILA programs.</w:t>
      </w:r>
      <w:r w:rsidR="00923AA0" w:rsidRPr="00AD733A">
        <w:t xml:space="preserve"> </w:t>
      </w:r>
      <w:r w:rsidR="002C63F1" w:rsidRPr="00AD733A">
        <w:t xml:space="preserve">Partially </w:t>
      </w:r>
      <w:r w:rsidR="001143BB" w:rsidRPr="00AD733A">
        <w:t>met</w:t>
      </w:r>
      <w:r w:rsidR="002C63F1" w:rsidRPr="00AD733A">
        <w:t>;</w:t>
      </w:r>
      <w:r w:rsidR="00722D25" w:rsidRPr="00AD733A">
        <w:t xml:space="preserve"> </w:t>
      </w:r>
      <w:r w:rsidR="00923AA0" w:rsidRPr="00AD733A">
        <w:t>Met</w:t>
      </w:r>
      <w:r w:rsidR="002C63F1" w:rsidRPr="00AD733A">
        <w:t xml:space="preserve">, DT had </w:t>
      </w:r>
      <w:r w:rsidR="00923AA0" w:rsidRPr="00AD733A">
        <w:t>calculation</w:t>
      </w:r>
      <w:r w:rsidR="002C63F1" w:rsidRPr="00AD733A">
        <w:t>s</w:t>
      </w:r>
      <w:r w:rsidR="00923AA0" w:rsidRPr="00AD733A">
        <w:t xml:space="preserve"> of 63134 hours billed while baseline </w:t>
      </w:r>
      <w:r w:rsidR="002C63F1" w:rsidRPr="00AD733A">
        <w:t xml:space="preserve">was </w:t>
      </w:r>
      <w:r w:rsidR="00923AA0" w:rsidRPr="00AD733A">
        <w:t>59400.  Recommend revision of goal to Dollars to track increase</w:t>
      </w:r>
      <w:r w:rsidR="002C63F1" w:rsidRPr="00AD733A">
        <w:t xml:space="preserve"> instead of attendance rate</w:t>
      </w:r>
      <w:r w:rsidR="00923AA0" w:rsidRPr="00AD733A">
        <w:t>.  DT program itself is operational 12 months while revenue is only 10</w:t>
      </w:r>
      <w:r w:rsidR="006108D3" w:rsidRPr="00AD733A">
        <w:t xml:space="preserve"> </w:t>
      </w:r>
      <w:r w:rsidR="00923AA0" w:rsidRPr="00AD733A">
        <w:t xml:space="preserve">1/2 months.  Partially </w:t>
      </w:r>
      <w:r w:rsidR="002C63F1" w:rsidRPr="00AD733A">
        <w:t xml:space="preserve">met, </w:t>
      </w:r>
      <w:r w:rsidR="00923AA0" w:rsidRPr="00AD733A">
        <w:t xml:space="preserve">CILA homes: CRH 75%, </w:t>
      </w:r>
      <w:r w:rsidR="00923AA0" w:rsidRPr="00AD733A">
        <w:rPr>
          <w:u w:val="single"/>
        </w:rPr>
        <w:t>ETH 100%,</w:t>
      </w:r>
      <w:r w:rsidR="00923AA0" w:rsidRPr="00AD733A">
        <w:t xml:space="preserve"> </w:t>
      </w:r>
      <w:r w:rsidR="00923AA0" w:rsidRPr="00AD733A">
        <w:rPr>
          <w:u w:val="single"/>
        </w:rPr>
        <w:t>HTH 100%</w:t>
      </w:r>
      <w:r w:rsidR="00923AA0" w:rsidRPr="00AD733A">
        <w:t xml:space="preserve"> and ORH 93%.  </w:t>
      </w:r>
    </w:p>
    <w:p w:rsidR="0074487E" w:rsidRPr="00AD733A" w:rsidRDefault="0074487E" w:rsidP="0074487E"/>
    <w:p w:rsidR="0074487E" w:rsidRPr="00AD733A" w:rsidRDefault="0074487E" w:rsidP="0074487E">
      <w:pPr>
        <w:rPr>
          <w:i/>
        </w:rPr>
      </w:pPr>
      <w:r w:rsidRPr="00AD733A">
        <w:t>Service Access Target MET</w:t>
      </w:r>
      <w:r w:rsidRPr="00AD733A">
        <w:rPr>
          <w:i/>
        </w:rPr>
        <w:t xml:space="preserve"> </w:t>
      </w:r>
    </w:p>
    <w:p w:rsidR="00E86AC5" w:rsidRPr="00AD733A" w:rsidRDefault="00E86AC5" w:rsidP="00E86AC5">
      <w:pPr>
        <w:pStyle w:val="ListParagraph"/>
        <w:numPr>
          <w:ilvl w:val="0"/>
          <w:numId w:val="19"/>
        </w:numPr>
        <w:rPr>
          <w:i/>
        </w:rPr>
      </w:pPr>
      <w:proofErr w:type="gramStart"/>
      <w:r w:rsidRPr="00AD733A">
        <w:rPr>
          <w:i/>
        </w:rPr>
        <w:t>expand</w:t>
      </w:r>
      <w:proofErr w:type="gramEnd"/>
      <w:r w:rsidRPr="00AD733A">
        <w:rPr>
          <w:i/>
        </w:rPr>
        <w:t xml:space="preserve"> number of HBS clients being served from 39 to 42.</w:t>
      </w:r>
      <w:r w:rsidR="004814E8" w:rsidRPr="00AD733A">
        <w:t xml:space="preserve"> Met</w:t>
      </w:r>
      <w:r w:rsidR="002C63F1" w:rsidRPr="00AD733A">
        <w:t>,</w:t>
      </w:r>
      <w:r w:rsidR="004814E8" w:rsidRPr="00AD733A">
        <w:t xml:space="preserve"> expanded to 49 clients.</w:t>
      </w:r>
    </w:p>
    <w:p w:rsidR="0074487E" w:rsidRPr="00AD733A" w:rsidRDefault="0074487E" w:rsidP="0074487E"/>
    <w:p w:rsidR="0074487E" w:rsidRPr="00AD733A" w:rsidRDefault="0074487E" w:rsidP="0074487E">
      <w:pPr>
        <w:rPr>
          <w:i/>
        </w:rPr>
      </w:pPr>
      <w:r w:rsidRPr="00AD733A">
        <w:t>Service Access Target NOT MET</w:t>
      </w:r>
      <w:r w:rsidRPr="00AD733A">
        <w:rPr>
          <w:i/>
        </w:rPr>
        <w:t xml:space="preserve"> </w:t>
      </w:r>
    </w:p>
    <w:p w:rsidR="0074487E" w:rsidRPr="00AD733A" w:rsidRDefault="00E86AC5" w:rsidP="0074487E">
      <w:pPr>
        <w:pStyle w:val="ListParagraph"/>
        <w:numPr>
          <w:ilvl w:val="0"/>
          <w:numId w:val="19"/>
        </w:numPr>
      </w:pPr>
      <w:proofErr w:type="gramStart"/>
      <w:r w:rsidRPr="00AD733A">
        <w:rPr>
          <w:i/>
        </w:rPr>
        <w:t>develop</w:t>
      </w:r>
      <w:proofErr w:type="gramEnd"/>
      <w:r w:rsidRPr="00AD733A">
        <w:rPr>
          <w:i/>
        </w:rPr>
        <w:t xml:space="preserve"> 1 additional community contract base for DT program. </w:t>
      </w:r>
      <w:r w:rsidR="004814E8" w:rsidRPr="00AD733A">
        <w:t>Not met</w:t>
      </w:r>
      <w:r w:rsidR="002C63F1" w:rsidRPr="00AD733A">
        <w:t>,</w:t>
      </w:r>
      <w:r w:rsidR="004814E8" w:rsidRPr="00AD733A">
        <w:t xml:space="preserve"> no additional contracts secured.</w:t>
      </w:r>
    </w:p>
    <w:p w:rsidR="001D5A9A" w:rsidRPr="00AD733A" w:rsidRDefault="001D5A9A" w:rsidP="001D5A9A"/>
    <w:p w:rsidR="001D5A9A" w:rsidRPr="00AD733A" w:rsidRDefault="001D5A9A" w:rsidP="001D5A9A">
      <w:pPr>
        <w:rPr>
          <w:b/>
        </w:rPr>
      </w:pPr>
      <w:r w:rsidRPr="00AD733A">
        <w:rPr>
          <w:b/>
        </w:rPr>
        <w:t>AGENCY</w:t>
      </w:r>
    </w:p>
    <w:p w:rsidR="0074487E" w:rsidRPr="00AD733A" w:rsidRDefault="0074487E" w:rsidP="0074487E">
      <w:r w:rsidRPr="00AD733A">
        <w:t>Effectiveness Target MET</w:t>
      </w:r>
    </w:p>
    <w:p w:rsidR="0074487E" w:rsidRPr="00AD733A" w:rsidRDefault="0074487E" w:rsidP="0074487E">
      <w:pPr>
        <w:pStyle w:val="ListParagraph"/>
        <w:numPr>
          <w:ilvl w:val="0"/>
          <w:numId w:val="21"/>
        </w:numPr>
        <w:rPr>
          <w:i/>
        </w:rPr>
      </w:pPr>
      <w:proofErr w:type="gramStart"/>
      <w:r w:rsidRPr="00AD733A">
        <w:rPr>
          <w:i/>
        </w:rPr>
        <w:t>participate</w:t>
      </w:r>
      <w:proofErr w:type="gramEnd"/>
      <w:r w:rsidRPr="00AD733A">
        <w:rPr>
          <w:i/>
        </w:rPr>
        <w:t xml:space="preserve"> in at least 4 outreach opportunities per program.</w:t>
      </w:r>
      <w:r w:rsidR="004814E8" w:rsidRPr="00AD733A">
        <w:t xml:space="preserve"> Met</w:t>
      </w:r>
      <w:r w:rsidR="002C63F1" w:rsidRPr="00AD733A">
        <w:t>,</w:t>
      </w:r>
      <w:r w:rsidR="004814E8" w:rsidRPr="00AD733A">
        <w:t xml:space="preserve"> </w:t>
      </w:r>
      <w:r w:rsidR="006108D3" w:rsidRPr="00AD733A">
        <w:t>participated in over 8</w:t>
      </w:r>
      <w:r w:rsidR="004814E8" w:rsidRPr="00AD733A">
        <w:t xml:space="preserve"> outreach programs</w:t>
      </w:r>
      <w:r w:rsidR="006108D3" w:rsidRPr="00AD733A">
        <w:t xml:space="preserve"> including but not limited to ice cream social for teachers, 2 parades, 2 booths, several youth outings, golf scramble, run, yard sale, </w:t>
      </w:r>
      <w:r w:rsidR="00D73C0B" w:rsidRPr="00AD733A">
        <w:t xml:space="preserve">community sing, </w:t>
      </w:r>
      <w:r w:rsidR="006108D3" w:rsidRPr="00AD733A">
        <w:t xml:space="preserve">candy sales, special </w:t>
      </w:r>
      <w:r w:rsidR="001111FE" w:rsidRPr="00AD733A">
        <w:t>Olympics</w:t>
      </w:r>
      <w:r w:rsidR="006108D3" w:rsidRPr="00AD733A">
        <w:t>, angel tree /abused children program.</w:t>
      </w:r>
    </w:p>
    <w:p w:rsidR="0074487E" w:rsidRPr="00AD733A" w:rsidRDefault="0074487E" w:rsidP="0074487E"/>
    <w:p w:rsidR="0074487E" w:rsidRPr="00AD733A" w:rsidRDefault="0074487E" w:rsidP="0074487E">
      <w:r w:rsidRPr="00AD733A">
        <w:t xml:space="preserve">Efficiency Target MET </w:t>
      </w:r>
    </w:p>
    <w:p w:rsidR="009D4958" w:rsidRPr="00AD733A" w:rsidRDefault="0074487E" w:rsidP="009D4958">
      <w:pPr>
        <w:pStyle w:val="ListParagraph"/>
        <w:numPr>
          <w:ilvl w:val="0"/>
          <w:numId w:val="21"/>
        </w:numPr>
      </w:pPr>
      <w:proofErr w:type="gramStart"/>
      <w:r w:rsidRPr="00AD733A">
        <w:rPr>
          <w:i/>
        </w:rPr>
        <w:t>transition</w:t>
      </w:r>
      <w:proofErr w:type="gramEnd"/>
      <w:r w:rsidRPr="00AD733A">
        <w:rPr>
          <w:i/>
        </w:rPr>
        <w:t xml:space="preserve"> personnel and additional pay roll functions to ADP contractual services.</w:t>
      </w:r>
      <w:r w:rsidR="00E85623" w:rsidRPr="00AD733A">
        <w:t xml:space="preserve"> Met</w:t>
      </w:r>
      <w:r w:rsidR="002C63F1" w:rsidRPr="00AD733A">
        <w:t>,</w:t>
      </w:r>
      <w:r w:rsidR="00E85623" w:rsidRPr="00AD733A">
        <w:t xml:space="preserve"> payroll up and operational </w:t>
      </w:r>
      <w:r w:rsidR="00D73C0B" w:rsidRPr="00AD733A">
        <w:t xml:space="preserve">for all employees </w:t>
      </w:r>
      <w:r w:rsidR="00E85623" w:rsidRPr="00AD733A">
        <w:t>by May 2015.</w:t>
      </w:r>
    </w:p>
    <w:p w:rsidR="009D4958" w:rsidRPr="00AD733A" w:rsidRDefault="009D4958" w:rsidP="009D4958"/>
    <w:p w:rsidR="009D4958" w:rsidRPr="00AD733A" w:rsidRDefault="009D4958" w:rsidP="009D4958">
      <w:pPr>
        <w:rPr>
          <w:i/>
        </w:rPr>
      </w:pPr>
      <w:r w:rsidRPr="00AD733A">
        <w:t xml:space="preserve">Service Access Target </w:t>
      </w:r>
      <w:r w:rsidR="00722D25" w:rsidRPr="00AD733A">
        <w:t>MET</w:t>
      </w:r>
      <w:r w:rsidRPr="00AD733A">
        <w:rPr>
          <w:i/>
        </w:rPr>
        <w:t xml:space="preserve"> </w:t>
      </w:r>
    </w:p>
    <w:p w:rsidR="00491504" w:rsidRPr="00AD733A" w:rsidRDefault="00491504" w:rsidP="00491504">
      <w:pPr>
        <w:pStyle w:val="ListParagraph"/>
        <w:numPr>
          <w:ilvl w:val="0"/>
          <w:numId w:val="21"/>
        </w:numPr>
        <w:rPr>
          <w:i/>
        </w:rPr>
      </w:pPr>
      <w:proofErr w:type="gramStart"/>
      <w:r w:rsidRPr="00AD733A">
        <w:rPr>
          <w:i/>
        </w:rPr>
        <w:t>increase</w:t>
      </w:r>
      <w:proofErr w:type="gramEnd"/>
      <w:r w:rsidRPr="00AD733A">
        <w:rPr>
          <w:i/>
        </w:rPr>
        <w:t xml:space="preserve"> FCCI marketing efforts. </w:t>
      </w:r>
      <w:r w:rsidR="006108D3" w:rsidRPr="00AD733A">
        <w:t>Met</w:t>
      </w:r>
      <w:r w:rsidR="002C63F1" w:rsidRPr="00AD733A">
        <w:t>,</w:t>
      </w:r>
      <w:r w:rsidR="006108D3" w:rsidRPr="00AD733A">
        <w:t xml:space="preserve"> e</w:t>
      </w:r>
      <w:r w:rsidR="0095058B" w:rsidRPr="00AD733A">
        <w:t xml:space="preserve">stablishment of </w:t>
      </w:r>
      <w:r w:rsidRPr="00AD733A">
        <w:t xml:space="preserve">FCCI </w:t>
      </w:r>
      <w:r w:rsidR="006108D3" w:rsidRPr="00AD733A">
        <w:t>Facebook page, involved in several public events, job fairs</w:t>
      </w:r>
      <w:r w:rsidR="00D73C0B" w:rsidRPr="00AD733A">
        <w:t>, advertisements.</w:t>
      </w:r>
    </w:p>
    <w:p w:rsidR="0074487E" w:rsidRPr="00AD733A" w:rsidRDefault="0074487E" w:rsidP="0074487E"/>
    <w:p w:rsidR="0074487E" w:rsidRPr="00AD733A" w:rsidRDefault="0074487E" w:rsidP="0074487E">
      <w:pPr>
        <w:rPr>
          <w:i/>
        </w:rPr>
      </w:pPr>
      <w:r w:rsidRPr="00AD733A">
        <w:t xml:space="preserve">Service Access Target NOT </w:t>
      </w:r>
      <w:r w:rsidR="00722D25" w:rsidRPr="00AD733A">
        <w:t>MET</w:t>
      </w:r>
    </w:p>
    <w:p w:rsidR="0074487E" w:rsidRPr="00AD733A" w:rsidRDefault="0074487E" w:rsidP="0074487E">
      <w:pPr>
        <w:pStyle w:val="ListParagraph"/>
        <w:numPr>
          <w:ilvl w:val="0"/>
          <w:numId w:val="21"/>
        </w:numPr>
        <w:rPr>
          <w:i/>
        </w:rPr>
      </w:pPr>
      <w:proofErr w:type="gramStart"/>
      <w:r w:rsidRPr="00AD733A">
        <w:rPr>
          <w:i/>
        </w:rPr>
        <w:t>diversify</w:t>
      </w:r>
      <w:proofErr w:type="gramEnd"/>
      <w:r w:rsidRPr="00AD733A">
        <w:rPr>
          <w:i/>
        </w:rPr>
        <w:t xml:space="preserve"> FCCI funding sources outside of State of Illinois income by 1 payer. </w:t>
      </w:r>
      <w:r w:rsidR="002C63F1" w:rsidRPr="00AD733A">
        <w:t>Partially met, n</w:t>
      </w:r>
      <w:r w:rsidR="009D4958" w:rsidRPr="00AD733A">
        <w:t>o significant payee source outside of Illinois established but 3 minor grants, totaling around $4,700 received: HVAC unit for MTL, light bulbs for A</w:t>
      </w:r>
      <w:r w:rsidR="00EA5BB3" w:rsidRPr="00AD733A">
        <w:t xml:space="preserve">R, Kroger rewards established. </w:t>
      </w:r>
      <w:r w:rsidR="009D4958" w:rsidRPr="00AD733A">
        <w:t xml:space="preserve"> 2 Federal grants and 5 Wal-Mart grants submitted but none awarded to FCCI. </w:t>
      </w:r>
    </w:p>
    <w:p w:rsidR="0074487E" w:rsidRPr="00AD733A" w:rsidRDefault="0074487E" w:rsidP="001D5A9A"/>
    <w:p w:rsidR="001D5A9A" w:rsidRPr="00AD733A" w:rsidRDefault="001D5A9A" w:rsidP="001D5A9A">
      <w:r w:rsidRPr="00AD733A">
        <w:t xml:space="preserve">Satisfaction Target </w:t>
      </w:r>
      <w:r w:rsidR="00722D25" w:rsidRPr="00AD733A">
        <w:t>NOT MET</w:t>
      </w:r>
    </w:p>
    <w:p w:rsidR="001D5A9A" w:rsidRPr="00AD733A" w:rsidRDefault="001D5A9A" w:rsidP="001D5A9A">
      <w:pPr>
        <w:pStyle w:val="ListParagraph"/>
        <w:numPr>
          <w:ilvl w:val="0"/>
          <w:numId w:val="20"/>
        </w:numPr>
        <w:rPr>
          <w:i/>
        </w:rPr>
      </w:pPr>
      <w:proofErr w:type="gramStart"/>
      <w:r w:rsidRPr="00AD733A">
        <w:rPr>
          <w:i/>
        </w:rPr>
        <w:t>agency</w:t>
      </w:r>
      <w:proofErr w:type="gramEnd"/>
      <w:r w:rsidRPr="00AD733A">
        <w:rPr>
          <w:i/>
        </w:rPr>
        <w:t xml:space="preserve"> clients, stakeholders, and staff satisfaction scoring rate. </w:t>
      </w:r>
      <w:r w:rsidR="00E85623" w:rsidRPr="00AD733A">
        <w:t>Partially met, DS Division</w:t>
      </w:r>
      <w:r w:rsidR="00D21D5F">
        <w:t xml:space="preserve">: DT 100%; CILA 100%; </w:t>
      </w:r>
      <w:r w:rsidR="00E85623" w:rsidRPr="00AD733A">
        <w:t>HBS</w:t>
      </w:r>
      <w:r w:rsidR="00D21D5F">
        <w:t xml:space="preserve"> 95%</w:t>
      </w:r>
      <w:r w:rsidR="00E85623" w:rsidRPr="00AD733A">
        <w:t>.   BH Division</w:t>
      </w:r>
      <w:r w:rsidR="00D21D5F">
        <w:t>:</w:t>
      </w:r>
      <w:r w:rsidR="00E85623" w:rsidRPr="00AD733A">
        <w:t xml:space="preserve"> MIOA</w:t>
      </w:r>
      <w:r w:rsidR="00D21D5F">
        <w:t xml:space="preserve"> </w:t>
      </w:r>
      <w:r w:rsidR="00E85623" w:rsidRPr="00AD733A">
        <w:t>96%; SA 99%; CCBYS 80%</w:t>
      </w:r>
      <w:r w:rsidR="00D21D5F">
        <w:t>;</w:t>
      </w:r>
      <w:r w:rsidR="00E85623" w:rsidRPr="00AD733A">
        <w:t xml:space="preserve"> and MIOY 85%.</w:t>
      </w:r>
    </w:p>
    <w:p w:rsidR="001D5A9A" w:rsidRPr="00AD733A" w:rsidRDefault="001D5A9A" w:rsidP="001D5A9A">
      <w:pPr>
        <w:pStyle w:val="ListParagraph"/>
        <w:numPr>
          <w:ilvl w:val="0"/>
          <w:numId w:val="20"/>
        </w:numPr>
        <w:rPr>
          <w:i/>
        </w:rPr>
      </w:pPr>
      <w:proofErr w:type="gramStart"/>
      <w:r w:rsidRPr="00AD733A">
        <w:rPr>
          <w:i/>
        </w:rPr>
        <w:t>agency</w:t>
      </w:r>
      <w:proofErr w:type="gramEnd"/>
      <w:r w:rsidRPr="00AD733A">
        <w:rPr>
          <w:i/>
        </w:rPr>
        <w:t xml:space="preserve"> staff retention</w:t>
      </w:r>
      <w:r w:rsidR="00491504" w:rsidRPr="00AD733A">
        <w:rPr>
          <w:i/>
        </w:rPr>
        <w:t xml:space="preserve"> loss</w:t>
      </w:r>
      <w:r w:rsidRPr="00AD733A">
        <w:rPr>
          <w:i/>
        </w:rPr>
        <w:t xml:space="preserve"> rate to be 20% or less. </w:t>
      </w:r>
      <w:r w:rsidR="00491504" w:rsidRPr="00AD733A">
        <w:t xml:space="preserve"> Not met</w:t>
      </w:r>
      <w:r w:rsidR="00EA5BB3" w:rsidRPr="00AD733A">
        <w:t>,</w:t>
      </w:r>
      <w:r w:rsidR="00491504" w:rsidRPr="00AD733A">
        <w:t xml:space="preserve"> turnover rate was 38%, decrease.</w:t>
      </w:r>
    </w:p>
    <w:p w:rsidR="003B5AC9" w:rsidRPr="00AD733A" w:rsidRDefault="003B5AC9" w:rsidP="003B5AC9">
      <w:pPr>
        <w:pStyle w:val="ListParagraph"/>
        <w:rPr>
          <w:i/>
        </w:rPr>
      </w:pPr>
    </w:p>
    <w:p w:rsidR="00165D72" w:rsidRPr="00AD733A" w:rsidRDefault="00CB2311" w:rsidP="002F5DA5">
      <w:pPr>
        <w:pStyle w:val="ListParagraph"/>
        <w:numPr>
          <w:ilvl w:val="0"/>
          <w:numId w:val="5"/>
        </w:numPr>
        <w:rPr>
          <w:b/>
          <w:u w:val="single"/>
        </w:rPr>
      </w:pPr>
      <w:r w:rsidRPr="00AD733A">
        <w:rPr>
          <w:b/>
          <w:u w:val="single"/>
        </w:rPr>
        <w:t>SUMMARY</w:t>
      </w:r>
      <w:r w:rsidR="00AD733A">
        <w:rPr>
          <w:b/>
          <w:u w:val="single"/>
        </w:rPr>
        <w:t xml:space="preserve"> OF</w:t>
      </w:r>
      <w:r w:rsidRPr="00AD733A">
        <w:rPr>
          <w:b/>
          <w:u w:val="single"/>
        </w:rPr>
        <w:t xml:space="preserve"> OUTCOME MEASURES</w:t>
      </w:r>
    </w:p>
    <w:p w:rsidR="00D71417" w:rsidRPr="00AD733A" w:rsidRDefault="00165D72" w:rsidP="00D71417">
      <w:r w:rsidRPr="00AD733A">
        <w:lastRenderedPageBreak/>
        <w:t>Since viewed as the most important element of this agency</w:t>
      </w:r>
      <w:r w:rsidR="00EA5BB3" w:rsidRPr="00AD733A">
        <w:t>’s purpose,</w:t>
      </w:r>
      <w:r w:rsidR="00DB5F4F" w:rsidRPr="00AD733A">
        <w:t xml:space="preserve"> improving</w:t>
      </w:r>
      <w:r w:rsidR="004A2665" w:rsidRPr="00AD733A">
        <w:t xml:space="preserve"> client</w:t>
      </w:r>
      <w:r w:rsidR="00E33AAC" w:rsidRPr="00AD733A">
        <w:t xml:space="preserve"> lives</w:t>
      </w:r>
      <w:r w:rsidR="00CB2311" w:rsidRPr="00AD733A">
        <w:t>,</w:t>
      </w:r>
      <w:r w:rsidR="004A2665" w:rsidRPr="00AD733A">
        <w:t xml:space="preserve"> </w:t>
      </w:r>
      <w:r w:rsidR="00D71417" w:rsidRPr="00AD733A">
        <w:t>FCCI</w:t>
      </w:r>
      <w:r w:rsidR="00E33AAC" w:rsidRPr="00AD733A">
        <w:t xml:space="preserve"> identifie</w:t>
      </w:r>
      <w:r w:rsidR="00DB5F4F" w:rsidRPr="00AD733A">
        <w:t>d outcomes were</w:t>
      </w:r>
      <w:r w:rsidR="004A2665" w:rsidRPr="00AD733A">
        <w:t xml:space="preserve"> found to have </w:t>
      </w:r>
      <w:r w:rsidRPr="00AD733A">
        <w:t>valid, reliab</w:t>
      </w:r>
      <w:r w:rsidR="004A2665" w:rsidRPr="00AD733A">
        <w:t xml:space="preserve">le and </w:t>
      </w:r>
      <w:r w:rsidRPr="00AD733A">
        <w:t>accurate targets</w:t>
      </w:r>
      <w:r w:rsidR="001D5A9A" w:rsidRPr="00AD733A">
        <w:t xml:space="preserve"> for FY15</w:t>
      </w:r>
      <w:r w:rsidR="00CB2311" w:rsidRPr="00AD733A">
        <w:t>.  Upon m</w:t>
      </w:r>
      <w:r w:rsidRPr="00AD733A">
        <w:t>anagement’s review</w:t>
      </w:r>
      <w:r w:rsidR="004A2665" w:rsidRPr="00AD733A">
        <w:t xml:space="preserve"> of these established targets</w:t>
      </w:r>
      <w:r w:rsidR="00D40FBE" w:rsidRPr="00AD733A">
        <w:t>, it</w:t>
      </w:r>
      <w:r w:rsidRPr="00AD733A">
        <w:t xml:space="preserve"> </w:t>
      </w:r>
      <w:r w:rsidR="00CB2311" w:rsidRPr="00AD733A">
        <w:t xml:space="preserve">was </w:t>
      </w:r>
      <w:r w:rsidRPr="00AD733A">
        <w:t>determined that effectiveness</w:t>
      </w:r>
      <w:r w:rsidR="002534BC" w:rsidRPr="00AD733A">
        <w:t xml:space="preserve">, </w:t>
      </w:r>
      <w:r w:rsidRPr="00AD733A">
        <w:t xml:space="preserve"> efficiency</w:t>
      </w:r>
      <w:r w:rsidR="002534BC" w:rsidRPr="00AD733A">
        <w:t xml:space="preserve"> and service</w:t>
      </w:r>
      <w:r w:rsidRPr="00AD733A">
        <w:t xml:space="preserve"> performance indicators</w:t>
      </w:r>
      <w:r w:rsidR="002534BC" w:rsidRPr="00AD733A">
        <w:t xml:space="preserve"> of</w:t>
      </w:r>
      <w:r w:rsidR="00DB5F4F" w:rsidRPr="00AD733A">
        <w:t xml:space="preserve"> </w:t>
      </w:r>
      <w:r w:rsidR="00D625BB" w:rsidRPr="00AD733A">
        <w:t xml:space="preserve">no show rate, CSR met goals, </w:t>
      </w:r>
      <w:r w:rsidR="00DB5F4F" w:rsidRPr="00AD733A">
        <w:t>referral</w:t>
      </w:r>
      <w:r w:rsidR="00E33AAC" w:rsidRPr="00AD733A">
        <w:t xml:space="preserve"> to service</w:t>
      </w:r>
      <w:r w:rsidR="00DB5F4F" w:rsidRPr="00AD733A">
        <w:t xml:space="preserve"> time </w:t>
      </w:r>
      <w:r w:rsidR="00E33AAC" w:rsidRPr="00AD733A">
        <w:t xml:space="preserve">frame </w:t>
      </w:r>
      <w:r w:rsidR="00DB5F4F" w:rsidRPr="00AD733A">
        <w:t xml:space="preserve">and </w:t>
      </w:r>
      <w:r w:rsidR="00D625BB" w:rsidRPr="00AD733A">
        <w:t>ASA participation,</w:t>
      </w:r>
      <w:r w:rsidR="004A2665" w:rsidRPr="00AD733A">
        <w:t xml:space="preserve"> </w:t>
      </w:r>
      <w:r w:rsidRPr="00AD733A">
        <w:t>for the Behavioral Health Division (BH)</w:t>
      </w:r>
      <w:r w:rsidR="00CB2311" w:rsidRPr="00AD733A">
        <w:t xml:space="preserve"> </w:t>
      </w:r>
      <w:r w:rsidRPr="00AD733A">
        <w:t>are appropriate</w:t>
      </w:r>
      <w:r w:rsidR="00DB5F4F" w:rsidRPr="00AD733A">
        <w:t xml:space="preserve">, </w:t>
      </w:r>
      <w:r w:rsidR="00D625BB" w:rsidRPr="00AD733A">
        <w:t>relevant</w:t>
      </w:r>
      <w:r w:rsidR="00DB5F4F" w:rsidRPr="00AD733A">
        <w:t xml:space="preserve"> and on target with the agency’s goals and objectives for FY16</w:t>
      </w:r>
      <w:r w:rsidRPr="00AD733A">
        <w:t xml:space="preserve">. </w:t>
      </w:r>
      <w:r w:rsidR="00DB5F4F" w:rsidRPr="00AD733A">
        <w:t xml:space="preserve">For IPS, it is recommended to drop foster care placement retention as a target and replace with youth increasing their skill validated by the ADI (Abbreviated Dysregulation Inventory).  </w:t>
      </w:r>
      <w:r w:rsidRPr="00AD733A">
        <w:t>Developmental Services (DS)</w:t>
      </w:r>
      <w:r w:rsidR="005878E4" w:rsidRPr="00AD733A">
        <w:t xml:space="preserve"> </w:t>
      </w:r>
      <w:r w:rsidR="004A2665" w:rsidRPr="00AD733A">
        <w:t>performance indicators and measures</w:t>
      </w:r>
      <w:r w:rsidR="00DB5F4F" w:rsidRPr="00AD733A">
        <w:t xml:space="preserve">, </w:t>
      </w:r>
      <w:r w:rsidR="00D625BB" w:rsidRPr="00AD733A">
        <w:t>I</w:t>
      </w:r>
      <w:r w:rsidRPr="00AD733A">
        <w:t>CAP</w:t>
      </w:r>
      <w:r w:rsidR="00D625BB" w:rsidRPr="00AD733A">
        <w:t>, contr</w:t>
      </w:r>
      <w:r w:rsidR="00DB5F4F" w:rsidRPr="00AD733A">
        <w:t xml:space="preserve">acts, attendance and </w:t>
      </w:r>
      <w:r w:rsidR="004A2665" w:rsidRPr="00AD733A">
        <w:t xml:space="preserve">client </w:t>
      </w:r>
      <w:r w:rsidR="00DB5F4F" w:rsidRPr="00AD733A">
        <w:t xml:space="preserve">wages, </w:t>
      </w:r>
      <w:r w:rsidR="00487F29" w:rsidRPr="00AD733A">
        <w:t xml:space="preserve">are still </w:t>
      </w:r>
      <w:r w:rsidR="004A2665" w:rsidRPr="00AD733A">
        <w:t xml:space="preserve">considered as valued </w:t>
      </w:r>
      <w:r w:rsidR="00DB5F4F" w:rsidRPr="00AD733A">
        <w:t>targets.  Most</w:t>
      </w:r>
      <w:r w:rsidR="00487F29" w:rsidRPr="00AD733A">
        <w:t xml:space="preserve"> of the agency’s</w:t>
      </w:r>
      <w:r w:rsidR="00D71417" w:rsidRPr="00AD733A">
        <w:t xml:space="preserve"> outcome targets have been translated into the agency’s </w:t>
      </w:r>
      <w:r w:rsidR="00CB2311" w:rsidRPr="00AD733A">
        <w:t xml:space="preserve">dash board goals </w:t>
      </w:r>
      <w:r w:rsidR="00D71417" w:rsidRPr="00AD733A">
        <w:t xml:space="preserve">/ objective </w:t>
      </w:r>
      <w:r w:rsidR="00CB2311" w:rsidRPr="00AD733A">
        <w:t>measurements</w:t>
      </w:r>
      <w:r w:rsidR="00D71417" w:rsidRPr="00AD733A">
        <w:t xml:space="preserve"> for tracking.  </w:t>
      </w:r>
      <w:r w:rsidR="002C63F1" w:rsidRPr="00AD733A">
        <w:t>Outcome report is posted on r-drive for staff review, on all FCCI bulletin boards for public review, and included in admission packets for new clients review.</w:t>
      </w:r>
    </w:p>
    <w:p w:rsidR="00D71417" w:rsidRPr="00AD733A" w:rsidRDefault="00D71417" w:rsidP="00D71417"/>
    <w:p w:rsidR="006E3907" w:rsidRPr="00AD733A" w:rsidRDefault="00165D72" w:rsidP="00D71417">
      <w:pPr>
        <w:rPr>
          <w:b/>
          <w:u w:val="single"/>
        </w:rPr>
      </w:pPr>
      <w:r w:rsidRPr="00AD733A">
        <w:rPr>
          <w:b/>
          <w:u w:val="single"/>
        </w:rPr>
        <w:t>F</w:t>
      </w:r>
      <w:r w:rsidR="002F5DA5" w:rsidRPr="00AD733A">
        <w:rPr>
          <w:b/>
          <w:u w:val="single"/>
        </w:rPr>
        <w:t>Y1</w:t>
      </w:r>
      <w:r w:rsidR="00AD733A">
        <w:rPr>
          <w:b/>
          <w:u w:val="single"/>
        </w:rPr>
        <w:t>5</w:t>
      </w:r>
      <w:r w:rsidR="002F5DA5" w:rsidRPr="00AD733A">
        <w:rPr>
          <w:b/>
          <w:u w:val="single"/>
        </w:rPr>
        <w:t xml:space="preserve"> DEMOGRAPHICS</w:t>
      </w:r>
    </w:p>
    <w:p w:rsidR="00C11DF6" w:rsidRPr="00AD733A" w:rsidRDefault="00C11DF6" w:rsidP="009B5067">
      <w:pPr>
        <w:rPr>
          <w:b/>
          <w:i/>
        </w:rPr>
      </w:pPr>
    </w:p>
    <w:p w:rsidR="00487F29" w:rsidRPr="00AD733A" w:rsidRDefault="00487F29" w:rsidP="009B5067">
      <w:pPr>
        <w:rPr>
          <w:b/>
          <w:i/>
        </w:rPr>
      </w:pPr>
      <w:r w:rsidRPr="00AD733A">
        <w:rPr>
          <w:b/>
          <w:i/>
        </w:rPr>
        <w:t xml:space="preserve">Ratio of Male / Female </w:t>
      </w:r>
      <w:r w:rsidR="00280ED9" w:rsidRPr="00AD733A">
        <w:rPr>
          <w:b/>
          <w:i/>
        </w:rPr>
        <w:t>clients</w:t>
      </w:r>
    </w:p>
    <w:tbl>
      <w:tblPr>
        <w:tblW w:w="10800" w:type="dxa"/>
        <w:tblInd w:w="720" w:type="dxa"/>
        <w:tblLayout w:type="fixed"/>
        <w:tblLook w:val="04A0"/>
      </w:tblPr>
      <w:tblGrid>
        <w:gridCol w:w="1374"/>
        <w:gridCol w:w="606"/>
        <w:gridCol w:w="900"/>
        <w:gridCol w:w="1260"/>
        <w:gridCol w:w="1080"/>
        <w:gridCol w:w="1080"/>
        <w:gridCol w:w="108"/>
        <w:gridCol w:w="972"/>
        <w:gridCol w:w="1260"/>
        <w:gridCol w:w="540"/>
        <w:gridCol w:w="360"/>
        <w:gridCol w:w="1260"/>
      </w:tblGrid>
      <w:tr w:rsidR="00AD733A" w:rsidRPr="00AD733A" w:rsidTr="00AD733A">
        <w:trPr>
          <w:trHeight w:val="351"/>
        </w:trPr>
        <w:tc>
          <w:tcPr>
            <w:tcW w:w="1374" w:type="dxa"/>
            <w:tcBorders>
              <w:top w:val="nil"/>
              <w:left w:val="nil"/>
              <w:bottom w:val="nil"/>
              <w:right w:val="nil"/>
            </w:tcBorders>
            <w:shd w:val="clear" w:color="auto" w:fill="auto"/>
            <w:noWrap/>
            <w:vAlign w:val="bottom"/>
            <w:hideMark/>
          </w:tcPr>
          <w:p w:rsidR="00AD733A" w:rsidRPr="00AD733A" w:rsidRDefault="00AD733A" w:rsidP="009B5067">
            <w:r w:rsidRPr="00AD733A">
              <w:t xml:space="preserve"> </w:t>
            </w:r>
          </w:p>
        </w:tc>
        <w:tc>
          <w:tcPr>
            <w:tcW w:w="606" w:type="dxa"/>
            <w:tcBorders>
              <w:top w:val="nil"/>
              <w:left w:val="nil"/>
              <w:bottom w:val="nil"/>
              <w:right w:val="nil"/>
            </w:tcBorders>
            <w:shd w:val="clear" w:color="auto" w:fill="auto"/>
            <w:noWrap/>
            <w:vAlign w:val="bottom"/>
            <w:hideMark/>
          </w:tcPr>
          <w:p w:rsidR="00AD733A" w:rsidRPr="00AD733A" w:rsidRDefault="00AD733A" w:rsidP="009B5067"/>
        </w:tc>
        <w:tc>
          <w:tcPr>
            <w:tcW w:w="2160" w:type="dxa"/>
            <w:gridSpan w:val="2"/>
            <w:tcBorders>
              <w:top w:val="nil"/>
              <w:left w:val="nil"/>
              <w:bottom w:val="nil"/>
              <w:right w:val="nil"/>
            </w:tcBorders>
            <w:shd w:val="clear" w:color="auto" w:fill="auto"/>
            <w:noWrap/>
            <w:vAlign w:val="bottom"/>
            <w:hideMark/>
          </w:tcPr>
          <w:p w:rsidR="00AD733A" w:rsidRPr="00AD733A" w:rsidRDefault="00AD733A" w:rsidP="009B5067">
            <w:r w:rsidRPr="00AD733A">
              <w:t xml:space="preserve">           2013</w:t>
            </w:r>
          </w:p>
        </w:tc>
        <w:tc>
          <w:tcPr>
            <w:tcW w:w="2160" w:type="dxa"/>
            <w:gridSpan w:val="2"/>
            <w:tcBorders>
              <w:top w:val="nil"/>
              <w:left w:val="nil"/>
              <w:bottom w:val="nil"/>
              <w:right w:val="nil"/>
            </w:tcBorders>
            <w:shd w:val="clear" w:color="auto" w:fill="auto"/>
            <w:noWrap/>
            <w:vAlign w:val="bottom"/>
            <w:hideMark/>
          </w:tcPr>
          <w:p w:rsidR="00AD733A" w:rsidRPr="00AD733A" w:rsidRDefault="00AD733A" w:rsidP="00AD733A">
            <w:pPr>
              <w:jc w:val="center"/>
            </w:pPr>
            <w:r w:rsidRPr="00AD733A">
              <w:t>2014</w:t>
            </w:r>
          </w:p>
        </w:tc>
        <w:tc>
          <w:tcPr>
            <w:tcW w:w="2340" w:type="dxa"/>
            <w:gridSpan w:val="3"/>
            <w:tcBorders>
              <w:top w:val="nil"/>
              <w:left w:val="nil"/>
              <w:bottom w:val="nil"/>
              <w:right w:val="nil"/>
            </w:tcBorders>
            <w:shd w:val="clear" w:color="auto" w:fill="auto"/>
            <w:noWrap/>
            <w:vAlign w:val="bottom"/>
            <w:hideMark/>
          </w:tcPr>
          <w:p w:rsidR="00AD733A" w:rsidRPr="00AD733A" w:rsidRDefault="00AD733A" w:rsidP="00AD733A">
            <w:pPr>
              <w:jc w:val="center"/>
              <w:rPr>
                <w:color w:val="943634" w:themeColor="accent2" w:themeShade="BF"/>
              </w:rPr>
            </w:pPr>
            <w:r w:rsidRPr="00AD733A">
              <w:rPr>
                <w:color w:val="943634" w:themeColor="accent2" w:themeShade="BF"/>
              </w:rPr>
              <w:t>2015</w:t>
            </w:r>
          </w:p>
        </w:tc>
        <w:tc>
          <w:tcPr>
            <w:tcW w:w="900" w:type="dxa"/>
            <w:gridSpan w:val="2"/>
            <w:tcBorders>
              <w:top w:val="nil"/>
              <w:left w:val="nil"/>
              <w:right w:val="nil"/>
            </w:tcBorders>
            <w:vAlign w:val="bottom"/>
          </w:tcPr>
          <w:p w:rsidR="00AD733A" w:rsidRPr="00AD733A" w:rsidRDefault="00AD733A" w:rsidP="009B5067"/>
        </w:tc>
        <w:tc>
          <w:tcPr>
            <w:tcW w:w="1260" w:type="dxa"/>
            <w:tcBorders>
              <w:top w:val="nil"/>
              <w:left w:val="nil"/>
              <w:right w:val="nil"/>
            </w:tcBorders>
            <w:vAlign w:val="bottom"/>
          </w:tcPr>
          <w:p w:rsidR="00AD733A" w:rsidRPr="00AD733A" w:rsidRDefault="00AD733A" w:rsidP="009B5067"/>
        </w:tc>
      </w:tr>
      <w:tr w:rsidR="007B00DD" w:rsidRPr="00AD733A" w:rsidTr="000433B9">
        <w:trPr>
          <w:gridAfter w:val="2"/>
          <w:wAfter w:w="1620" w:type="dxa"/>
          <w:trHeight w:val="300"/>
        </w:trPr>
        <w:tc>
          <w:tcPr>
            <w:tcW w:w="198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7B00DD" w:rsidRPr="00AD733A" w:rsidRDefault="007B00DD" w:rsidP="009B5067">
            <w:r w:rsidRPr="00AD733A">
              <w:t>PROGRAMS:</w:t>
            </w:r>
          </w:p>
        </w:tc>
        <w:tc>
          <w:tcPr>
            <w:tcW w:w="9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B00DD" w:rsidRPr="00AD733A" w:rsidRDefault="007B00DD" w:rsidP="00AD733A">
            <w:pPr>
              <w:jc w:val="center"/>
            </w:pPr>
            <w:r w:rsidRPr="00AD733A">
              <w:t>MALE</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7B00DD" w:rsidRPr="00AD733A" w:rsidRDefault="007B00DD" w:rsidP="00AD733A">
            <w:pPr>
              <w:jc w:val="center"/>
            </w:pPr>
            <w:r w:rsidRPr="00AD733A">
              <w:t>FEMALE</w:t>
            </w:r>
          </w:p>
        </w:tc>
        <w:tc>
          <w:tcPr>
            <w:tcW w:w="10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B00DD" w:rsidRPr="00AD733A" w:rsidRDefault="007B00DD" w:rsidP="00AD733A">
            <w:pPr>
              <w:jc w:val="center"/>
            </w:pPr>
            <w:r w:rsidRPr="00AD733A">
              <w:t>MALE</w:t>
            </w:r>
          </w:p>
        </w:tc>
        <w:tc>
          <w:tcPr>
            <w:tcW w:w="1188" w:type="dxa"/>
            <w:gridSpan w:val="2"/>
            <w:tcBorders>
              <w:top w:val="single" w:sz="8" w:space="0" w:color="auto"/>
              <w:left w:val="nil"/>
              <w:bottom w:val="single" w:sz="4" w:space="0" w:color="auto"/>
              <w:right w:val="single" w:sz="8" w:space="0" w:color="auto"/>
            </w:tcBorders>
            <w:shd w:val="clear" w:color="auto" w:fill="auto"/>
            <w:noWrap/>
            <w:vAlign w:val="bottom"/>
            <w:hideMark/>
          </w:tcPr>
          <w:p w:rsidR="007B00DD" w:rsidRPr="00AD733A" w:rsidRDefault="007B00DD" w:rsidP="00AD733A">
            <w:pPr>
              <w:jc w:val="center"/>
            </w:pPr>
            <w:r w:rsidRPr="00AD733A">
              <w:t>FEMALE</w:t>
            </w:r>
          </w:p>
        </w:tc>
        <w:tc>
          <w:tcPr>
            <w:tcW w:w="972" w:type="dxa"/>
            <w:tcBorders>
              <w:top w:val="single" w:sz="8" w:space="0" w:color="auto"/>
              <w:left w:val="nil"/>
              <w:bottom w:val="single" w:sz="4" w:space="0" w:color="auto"/>
              <w:right w:val="single" w:sz="8" w:space="0" w:color="auto"/>
            </w:tcBorders>
          </w:tcPr>
          <w:p w:rsidR="007B00DD" w:rsidRPr="00AD733A" w:rsidRDefault="007B00DD" w:rsidP="00AD733A">
            <w:pPr>
              <w:jc w:val="center"/>
              <w:rPr>
                <w:color w:val="943634" w:themeColor="accent2" w:themeShade="BF"/>
              </w:rPr>
            </w:pPr>
          </w:p>
          <w:p w:rsidR="007B00DD" w:rsidRPr="00AD733A" w:rsidRDefault="007B00DD" w:rsidP="00AD733A">
            <w:pPr>
              <w:jc w:val="center"/>
              <w:rPr>
                <w:color w:val="943634" w:themeColor="accent2" w:themeShade="BF"/>
              </w:rPr>
            </w:pPr>
            <w:r w:rsidRPr="00AD733A">
              <w:rPr>
                <w:color w:val="943634" w:themeColor="accent2" w:themeShade="BF"/>
              </w:rPr>
              <w:t>MALE</w:t>
            </w:r>
          </w:p>
        </w:tc>
        <w:tc>
          <w:tcPr>
            <w:tcW w:w="1260" w:type="dxa"/>
            <w:tcBorders>
              <w:top w:val="single" w:sz="8" w:space="0" w:color="auto"/>
              <w:left w:val="nil"/>
              <w:bottom w:val="single" w:sz="4" w:space="0" w:color="auto"/>
              <w:right w:val="single" w:sz="4" w:space="0" w:color="auto"/>
            </w:tcBorders>
            <w:vAlign w:val="bottom"/>
          </w:tcPr>
          <w:p w:rsidR="007B00DD" w:rsidRPr="00AD733A" w:rsidRDefault="007B00DD" w:rsidP="00AD733A">
            <w:pPr>
              <w:jc w:val="center"/>
              <w:rPr>
                <w:color w:val="943634" w:themeColor="accent2" w:themeShade="BF"/>
              </w:rPr>
            </w:pPr>
            <w:r w:rsidRPr="00AD733A">
              <w:rPr>
                <w:color w:val="943634" w:themeColor="accent2" w:themeShade="BF"/>
              </w:rPr>
              <w:t>FEMALE</w:t>
            </w:r>
          </w:p>
        </w:tc>
        <w:tc>
          <w:tcPr>
            <w:tcW w:w="540" w:type="dxa"/>
            <w:tcBorders>
              <w:left w:val="single" w:sz="4" w:space="0" w:color="auto"/>
            </w:tcBorders>
            <w:vAlign w:val="bottom"/>
          </w:tcPr>
          <w:p w:rsidR="007B00DD" w:rsidRPr="00AD733A" w:rsidRDefault="007B00DD" w:rsidP="009B5067"/>
        </w:tc>
      </w:tr>
      <w:tr w:rsidR="007B00DD" w:rsidRPr="00AD733A" w:rsidTr="00AD10A8">
        <w:trPr>
          <w:gridAfter w:val="2"/>
          <w:wAfter w:w="1620" w:type="dxa"/>
          <w:trHeight w:val="476"/>
        </w:trPr>
        <w:tc>
          <w:tcPr>
            <w:tcW w:w="198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B00DD" w:rsidRPr="00AD733A" w:rsidRDefault="007B00DD" w:rsidP="009B5067">
            <w:r w:rsidRPr="00AD733A">
              <w:t>Developmental Services</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B00DD" w:rsidRPr="00AD733A" w:rsidRDefault="001D5A9A" w:rsidP="00AD733A">
            <w:pPr>
              <w:jc w:val="center"/>
            </w:pPr>
            <w:r w:rsidRPr="00AD733A">
              <w:t>56</w:t>
            </w:r>
            <w:r w:rsidR="007B00DD" w:rsidRPr="00AD733A">
              <w:t>%</w:t>
            </w:r>
          </w:p>
        </w:tc>
        <w:tc>
          <w:tcPr>
            <w:tcW w:w="1260" w:type="dxa"/>
            <w:tcBorders>
              <w:top w:val="nil"/>
              <w:left w:val="nil"/>
              <w:bottom w:val="single" w:sz="4" w:space="0" w:color="auto"/>
              <w:right w:val="single" w:sz="8" w:space="0" w:color="auto"/>
            </w:tcBorders>
            <w:shd w:val="clear" w:color="auto" w:fill="auto"/>
            <w:noWrap/>
            <w:vAlign w:val="bottom"/>
            <w:hideMark/>
          </w:tcPr>
          <w:p w:rsidR="007B00DD" w:rsidRPr="00AD733A" w:rsidRDefault="001D5A9A" w:rsidP="00AD733A">
            <w:pPr>
              <w:jc w:val="center"/>
            </w:pPr>
            <w:r w:rsidRPr="00AD733A">
              <w:t>44</w:t>
            </w:r>
            <w:r w:rsidR="007B00DD" w:rsidRPr="00AD733A">
              <w: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B00DD" w:rsidRPr="00AD733A" w:rsidRDefault="007B00DD" w:rsidP="00AD733A">
            <w:pPr>
              <w:jc w:val="center"/>
            </w:pPr>
            <w:r w:rsidRPr="00AD733A">
              <w:t>56%</w:t>
            </w: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7B00DD" w:rsidRPr="00AD733A" w:rsidRDefault="007B00DD" w:rsidP="00AD733A">
            <w:pPr>
              <w:jc w:val="center"/>
            </w:pPr>
            <w:r w:rsidRPr="00AD733A">
              <w:t>44%</w:t>
            </w:r>
          </w:p>
        </w:tc>
        <w:tc>
          <w:tcPr>
            <w:tcW w:w="972" w:type="dxa"/>
            <w:tcBorders>
              <w:top w:val="nil"/>
              <w:left w:val="nil"/>
              <w:bottom w:val="single" w:sz="4" w:space="0" w:color="auto"/>
              <w:right w:val="single" w:sz="8" w:space="0" w:color="auto"/>
            </w:tcBorders>
          </w:tcPr>
          <w:p w:rsidR="007B00DD" w:rsidRPr="00AD733A" w:rsidRDefault="007B00DD" w:rsidP="00AD733A">
            <w:pPr>
              <w:jc w:val="center"/>
              <w:rPr>
                <w:color w:val="943634" w:themeColor="accent2" w:themeShade="BF"/>
              </w:rPr>
            </w:pPr>
          </w:p>
          <w:p w:rsidR="007B00DD" w:rsidRPr="00AD733A" w:rsidRDefault="000433B9" w:rsidP="00AD733A">
            <w:pPr>
              <w:jc w:val="center"/>
              <w:rPr>
                <w:color w:val="943634" w:themeColor="accent2" w:themeShade="BF"/>
              </w:rPr>
            </w:pPr>
            <w:r w:rsidRPr="00AD733A">
              <w:rPr>
                <w:color w:val="943634" w:themeColor="accent2" w:themeShade="BF"/>
              </w:rPr>
              <w:t>56</w:t>
            </w:r>
            <w:r w:rsidR="007B00DD" w:rsidRPr="00AD733A">
              <w:rPr>
                <w:color w:val="943634" w:themeColor="accent2" w:themeShade="BF"/>
              </w:rPr>
              <w:t>%</w:t>
            </w:r>
          </w:p>
        </w:tc>
        <w:tc>
          <w:tcPr>
            <w:tcW w:w="1260" w:type="dxa"/>
            <w:tcBorders>
              <w:top w:val="single" w:sz="4" w:space="0" w:color="auto"/>
              <w:left w:val="nil"/>
              <w:bottom w:val="single" w:sz="4" w:space="0" w:color="auto"/>
              <w:right w:val="single" w:sz="4" w:space="0" w:color="auto"/>
            </w:tcBorders>
            <w:vAlign w:val="bottom"/>
          </w:tcPr>
          <w:p w:rsidR="007B00DD" w:rsidRPr="00AD733A" w:rsidRDefault="000433B9" w:rsidP="00AD733A">
            <w:pPr>
              <w:jc w:val="center"/>
              <w:rPr>
                <w:color w:val="943634" w:themeColor="accent2" w:themeShade="BF"/>
              </w:rPr>
            </w:pPr>
            <w:r w:rsidRPr="00AD733A">
              <w:rPr>
                <w:color w:val="943634" w:themeColor="accent2" w:themeShade="BF"/>
              </w:rPr>
              <w:t>44</w:t>
            </w:r>
            <w:r w:rsidR="007B00DD" w:rsidRPr="00AD733A">
              <w:rPr>
                <w:color w:val="943634" w:themeColor="accent2" w:themeShade="BF"/>
              </w:rPr>
              <w:t>%</w:t>
            </w:r>
          </w:p>
        </w:tc>
        <w:tc>
          <w:tcPr>
            <w:tcW w:w="540" w:type="dxa"/>
            <w:tcBorders>
              <w:top w:val="nil"/>
              <w:left w:val="single" w:sz="4" w:space="0" w:color="auto"/>
            </w:tcBorders>
            <w:vAlign w:val="bottom"/>
          </w:tcPr>
          <w:p w:rsidR="007B00DD" w:rsidRPr="00AD733A" w:rsidRDefault="007B00DD" w:rsidP="009B5067"/>
        </w:tc>
      </w:tr>
      <w:tr w:rsidR="007B00DD" w:rsidRPr="00AD733A" w:rsidTr="00AD10A8">
        <w:trPr>
          <w:gridAfter w:val="2"/>
          <w:wAfter w:w="1620" w:type="dxa"/>
          <w:trHeight w:val="350"/>
        </w:trPr>
        <w:tc>
          <w:tcPr>
            <w:tcW w:w="198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B00DD" w:rsidRPr="00AD733A" w:rsidRDefault="007B00DD" w:rsidP="009B5067">
            <w:r w:rsidRPr="00AD733A">
              <w:t>Behavioral Health</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7B00DD" w:rsidRPr="00AD733A" w:rsidRDefault="001D5A9A" w:rsidP="00AD733A">
            <w:pPr>
              <w:jc w:val="center"/>
            </w:pPr>
            <w:r w:rsidRPr="00AD733A">
              <w:t>49</w:t>
            </w:r>
            <w:r w:rsidR="007B00DD" w:rsidRPr="00AD733A">
              <w:t>%</w:t>
            </w:r>
          </w:p>
        </w:tc>
        <w:tc>
          <w:tcPr>
            <w:tcW w:w="1260" w:type="dxa"/>
            <w:tcBorders>
              <w:top w:val="nil"/>
              <w:left w:val="nil"/>
              <w:bottom w:val="single" w:sz="8" w:space="0" w:color="auto"/>
              <w:right w:val="single" w:sz="8" w:space="0" w:color="auto"/>
            </w:tcBorders>
            <w:shd w:val="clear" w:color="auto" w:fill="auto"/>
            <w:noWrap/>
            <w:vAlign w:val="bottom"/>
            <w:hideMark/>
          </w:tcPr>
          <w:p w:rsidR="007B00DD" w:rsidRPr="00AD733A" w:rsidRDefault="001D5A9A" w:rsidP="00AD733A">
            <w:pPr>
              <w:jc w:val="center"/>
            </w:pPr>
            <w:r w:rsidRPr="00AD733A">
              <w:t>51</w:t>
            </w:r>
            <w:r w:rsidR="007B00DD" w:rsidRPr="00AD733A">
              <w:t>%</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7B00DD" w:rsidRPr="00AD733A" w:rsidRDefault="001D5A9A" w:rsidP="00AD733A">
            <w:pPr>
              <w:jc w:val="center"/>
            </w:pPr>
            <w:r w:rsidRPr="00AD733A">
              <w:t>51</w:t>
            </w:r>
            <w:r w:rsidR="007B00DD" w:rsidRPr="00AD733A">
              <w:t>%</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7B00DD" w:rsidRPr="00AD733A" w:rsidRDefault="001D5A9A" w:rsidP="00AD733A">
            <w:pPr>
              <w:jc w:val="center"/>
            </w:pPr>
            <w:r w:rsidRPr="00AD733A">
              <w:t>49</w:t>
            </w:r>
            <w:r w:rsidR="007B00DD" w:rsidRPr="00AD733A">
              <w:t>%</w:t>
            </w:r>
          </w:p>
        </w:tc>
        <w:tc>
          <w:tcPr>
            <w:tcW w:w="972" w:type="dxa"/>
            <w:tcBorders>
              <w:top w:val="nil"/>
              <w:left w:val="nil"/>
              <w:bottom w:val="single" w:sz="8" w:space="0" w:color="auto"/>
              <w:right w:val="single" w:sz="8" w:space="0" w:color="auto"/>
            </w:tcBorders>
          </w:tcPr>
          <w:p w:rsidR="007B00DD" w:rsidRPr="00AD733A" w:rsidRDefault="007B00DD" w:rsidP="00AD733A">
            <w:pPr>
              <w:jc w:val="center"/>
              <w:rPr>
                <w:color w:val="943634" w:themeColor="accent2" w:themeShade="BF"/>
              </w:rPr>
            </w:pPr>
          </w:p>
          <w:p w:rsidR="007B00DD" w:rsidRPr="00AD733A" w:rsidRDefault="000433B9" w:rsidP="00AD733A">
            <w:pPr>
              <w:jc w:val="center"/>
              <w:rPr>
                <w:color w:val="943634" w:themeColor="accent2" w:themeShade="BF"/>
              </w:rPr>
            </w:pPr>
            <w:r w:rsidRPr="00AD733A">
              <w:rPr>
                <w:color w:val="943634" w:themeColor="accent2" w:themeShade="BF"/>
              </w:rPr>
              <w:t>47</w:t>
            </w:r>
            <w:r w:rsidR="007B00DD" w:rsidRPr="00AD733A">
              <w:rPr>
                <w:color w:val="943634" w:themeColor="accent2" w:themeShade="BF"/>
              </w:rPr>
              <w:t>%</w:t>
            </w:r>
          </w:p>
        </w:tc>
        <w:tc>
          <w:tcPr>
            <w:tcW w:w="1260" w:type="dxa"/>
            <w:tcBorders>
              <w:top w:val="single" w:sz="4" w:space="0" w:color="auto"/>
              <w:left w:val="nil"/>
              <w:bottom w:val="single" w:sz="8" w:space="0" w:color="auto"/>
              <w:right w:val="single" w:sz="4" w:space="0" w:color="auto"/>
            </w:tcBorders>
            <w:vAlign w:val="bottom"/>
          </w:tcPr>
          <w:p w:rsidR="007B00DD" w:rsidRPr="00AD733A" w:rsidRDefault="000433B9" w:rsidP="00AD733A">
            <w:pPr>
              <w:jc w:val="center"/>
              <w:rPr>
                <w:color w:val="943634" w:themeColor="accent2" w:themeShade="BF"/>
              </w:rPr>
            </w:pPr>
            <w:r w:rsidRPr="00AD733A">
              <w:rPr>
                <w:color w:val="943634" w:themeColor="accent2" w:themeShade="BF"/>
              </w:rPr>
              <w:t>53</w:t>
            </w:r>
            <w:r w:rsidR="007B00DD" w:rsidRPr="00AD733A">
              <w:rPr>
                <w:color w:val="943634" w:themeColor="accent2" w:themeShade="BF"/>
              </w:rPr>
              <w:t>%</w:t>
            </w:r>
          </w:p>
        </w:tc>
        <w:tc>
          <w:tcPr>
            <w:tcW w:w="540" w:type="dxa"/>
            <w:tcBorders>
              <w:top w:val="nil"/>
              <w:left w:val="single" w:sz="4" w:space="0" w:color="auto"/>
            </w:tcBorders>
            <w:vAlign w:val="bottom"/>
          </w:tcPr>
          <w:p w:rsidR="007B00DD" w:rsidRPr="00AD733A" w:rsidRDefault="007B00DD" w:rsidP="009B5067"/>
        </w:tc>
      </w:tr>
    </w:tbl>
    <w:p w:rsidR="00280ED9" w:rsidRPr="00AD733A" w:rsidRDefault="00280ED9" w:rsidP="009B5067"/>
    <w:p w:rsidR="00037491" w:rsidRPr="00AD733A" w:rsidRDefault="004A2665" w:rsidP="009B5067">
      <w:r w:rsidRPr="00AD733A">
        <w:t xml:space="preserve">Male / female numbers </w:t>
      </w:r>
      <w:r w:rsidR="000433B9" w:rsidRPr="00AD733A">
        <w:t xml:space="preserve">do not seem to </w:t>
      </w:r>
      <w:r w:rsidRPr="00AD733A">
        <w:t>be a valuable market</w:t>
      </w:r>
      <w:r w:rsidR="000433B9" w:rsidRPr="00AD733A">
        <w:t>ing indicator for the organization. DS ratios remained the sam</w:t>
      </w:r>
      <w:r w:rsidR="00C577E1" w:rsidRPr="00AD733A">
        <w:t xml:space="preserve">e while </w:t>
      </w:r>
      <w:r w:rsidR="00F34801" w:rsidRPr="00AD733A">
        <w:t xml:space="preserve">BH </w:t>
      </w:r>
      <w:r w:rsidR="00C577E1" w:rsidRPr="00AD733A">
        <w:t xml:space="preserve">changed by 4% from male to more females requesting services.  In looking at program specifics, the greatest change was noted in SASS ratio, 103 females accessing service in 2015 compared to 68 in 2014.  </w:t>
      </w:r>
    </w:p>
    <w:p w:rsidR="00017DCA" w:rsidRPr="00AD733A" w:rsidRDefault="00017DCA" w:rsidP="009B5067">
      <w:pPr>
        <w:rPr>
          <w:b/>
        </w:rPr>
      </w:pPr>
    </w:p>
    <w:p w:rsidR="001B6235" w:rsidRPr="00AD733A" w:rsidRDefault="00904552" w:rsidP="001B6235">
      <w:pPr>
        <w:rPr>
          <w:b/>
          <w:i/>
        </w:rPr>
      </w:pPr>
      <w:r w:rsidRPr="00AD733A">
        <w:rPr>
          <w:b/>
          <w:i/>
        </w:rPr>
        <w:t xml:space="preserve">                  </w:t>
      </w:r>
      <w:r w:rsidRPr="00AD733A">
        <w:rPr>
          <w:b/>
          <w:i/>
          <w:noProof/>
        </w:rPr>
        <w:drawing>
          <wp:inline distT="0" distB="0" distL="0" distR="0">
            <wp:extent cx="4572000" cy="2447925"/>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6235" w:rsidRPr="00AD733A" w:rsidRDefault="001B6235" w:rsidP="001B6235">
      <w:pPr>
        <w:rPr>
          <w:b/>
          <w:i/>
        </w:rPr>
      </w:pPr>
      <w:r w:rsidRPr="00AD733A">
        <w:rPr>
          <w:b/>
          <w:i/>
        </w:rPr>
        <w:t>Clients Served per County</w:t>
      </w:r>
    </w:p>
    <w:p w:rsidR="001B6235" w:rsidRPr="00AD733A" w:rsidRDefault="001B6235" w:rsidP="001B6235">
      <w:pPr>
        <w:rPr>
          <w:b/>
          <w:i/>
        </w:rPr>
      </w:pPr>
    </w:p>
    <w:p w:rsidR="001B6235" w:rsidRPr="00AD733A" w:rsidRDefault="001B6235" w:rsidP="009320FA">
      <w:r w:rsidRPr="00AD733A">
        <w:t>The distribution of clients served per county remained similar to previous three years (2014, 2013 and 2012) data with Johnson Cou</w:t>
      </w:r>
      <w:r w:rsidR="002C63F1" w:rsidRPr="00AD733A">
        <w:t>nty, Hardin, Massac, Pope,</w:t>
      </w:r>
      <w:r w:rsidRPr="00AD733A">
        <w:t xml:space="preserve"> </w:t>
      </w:r>
      <w:r w:rsidR="00904552" w:rsidRPr="00AD733A">
        <w:t xml:space="preserve">Union, </w:t>
      </w:r>
      <w:r w:rsidRPr="00AD733A">
        <w:t>Alexander</w:t>
      </w:r>
      <w:r w:rsidR="002C63F1" w:rsidRPr="00AD733A">
        <w:t xml:space="preserve"> and Pulaski</w:t>
      </w:r>
      <w:r w:rsidRPr="00AD733A">
        <w:t xml:space="preserve"> </w:t>
      </w:r>
      <w:r w:rsidRPr="00AD733A">
        <w:lastRenderedPageBreak/>
        <w:t xml:space="preserve">in descending order. With anticipation of providing services in Cairo area, the number of clients </w:t>
      </w:r>
      <w:r w:rsidR="00D71417" w:rsidRPr="00AD733A">
        <w:t>FCCI</w:t>
      </w:r>
      <w:r w:rsidRPr="00AD733A">
        <w:t xml:space="preserve"> already serves, primarily MIOY outpatient and SASS Youth Crisis, is indicated. </w:t>
      </w:r>
    </w:p>
    <w:p w:rsidR="001111FE" w:rsidRDefault="001111FE" w:rsidP="003B5820">
      <w:pPr>
        <w:jc w:val="left"/>
        <w:rPr>
          <w:b/>
          <w:i/>
        </w:rPr>
      </w:pPr>
    </w:p>
    <w:p w:rsidR="001B6235" w:rsidRPr="00AD733A" w:rsidRDefault="001B6235" w:rsidP="003B5820">
      <w:pPr>
        <w:jc w:val="left"/>
        <w:rPr>
          <w:b/>
          <w:i/>
        </w:rPr>
      </w:pPr>
      <w:r w:rsidRPr="00AD733A">
        <w:rPr>
          <w:b/>
          <w:i/>
        </w:rPr>
        <w:t>Payee Sources and Client Numbers</w:t>
      </w:r>
    </w:p>
    <w:p w:rsidR="007761DD" w:rsidRPr="00AD733A" w:rsidRDefault="007761DD" w:rsidP="009B5067"/>
    <w:p w:rsidR="001B6235" w:rsidRPr="00AD733A" w:rsidRDefault="00F53DBC" w:rsidP="009B5067">
      <w:pPr>
        <w:rPr>
          <w:b/>
          <w:i/>
        </w:rPr>
      </w:pPr>
      <w:r>
        <w:rPr>
          <w:b/>
          <w:i/>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24pt;margin-top:1.5pt;width:126.75pt;height:286.95pt;z-index:251667456;mso-width-relative:margin;mso-height-relative:margin">
            <v:textbox>
              <w:txbxContent>
                <w:p w:rsidR="00BD2E39" w:rsidRDefault="00BD2E39">
                  <w:pPr>
                    <w:rPr>
                      <w:b/>
                    </w:rPr>
                  </w:pPr>
                </w:p>
                <w:p w:rsidR="00BD2E39" w:rsidRDefault="00BD2E39" w:rsidP="00F9121E">
                  <w:pPr>
                    <w:jc w:val="center"/>
                    <w:rPr>
                      <w:b/>
                      <w:sz w:val="22"/>
                      <w:szCs w:val="22"/>
                    </w:rPr>
                  </w:pPr>
                  <w:r w:rsidRPr="00F34801">
                    <w:rPr>
                      <w:b/>
                      <w:sz w:val="22"/>
                      <w:szCs w:val="22"/>
                    </w:rPr>
                    <w:t>REVENUE REVIEW</w:t>
                  </w:r>
                </w:p>
                <w:p w:rsidR="00BD2E39" w:rsidRDefault="00BD2E39" w:rsidP="00F9121E">
                  <w:pPr>
                    <w:rPr>
                      <w:b/>
                      <w:sz w:val="22"/>
                      <w:szCs w:val="22"/>
                    </w:rPr>
                  </w:pPr>
                </w:p>
                <w:p w:rsidR="00BD2E39" w:rsidRDefault="00BD2E39" w:rsidP="00F9121E">
                  <w:pPr>
                    <w:jc w:val="center"/>
                  </w:pPr>
                  <w:r>
                    <w:t>FCCI continues to rely heavily on income generated by payment from the State of Illinois.  Many efforts were made in FY15 to expand revenue sources through federal and foundation grants.  Some success was noted but not enough to alter reliance on State dollars.  This is a continued area of monitoring.</w:t>
                  </w:r>
                </w:p>
              </w:txbxContent>
            </v:textbox>
          </v:shape>
        </w:pict>
      </w:r>
      <w:r w:rsidR="001B6235" w:rsidRPr="00AD733A">
        <w:rPr>
          <w:b/>
          <w:i/>
        </w:rPr>
        <w:t xml:space="preserve">  </w:t>
      </w:r>
      <w:r w:rsidR="005841FD" w:rsidRPr="00AD733A">
        <w:rPr>
          <w:b/>
          <w:i/>
        </w:rPr>
        <w:t xml:space="preserve">                      </w:t>
      </w:r>
      <w:r w:rsidR="001B6235" w:rsidRPr="00AD733A">
        <w:rPr>
          <w:b/>
          <w:i/>
        </w:rPr>
        <w:t xml:space="preserve">     </w:t>
      </w:r>
      <w:r w:rsidR="00F95A18" w:rsidRPr="00AD733A">
        <w:rPr>
          <w:b/>
          <w:i/>
        </w:rPr>
        <w:t xml:space="preserve">     </w:t>
      </w:r>
      <w:r w:rsidR="001B6235" w:rsidRPr="00AD733A">
        <w:rPr>
          <w:b/>
          <w:i/>
        </w:rPr>
        <w:t xml:space="preserve"> </w:t>
      </w:r>
      <w:r w:rsidR="001B6235" w:rsidRPr="00AD733A">
        <w:rPr>
          <w:b/>
          <w:i/>
          <w:noProof/>
        </w:rPr>
        <w:drawing>
          <wp:inline distT="0" distB="0" distL="0" distR="0">
            <wp:extent cx="4572000" cy="3752850"/>
            <wp:effectExtent l="1905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3879" w:rsidRPr="00AD733A" w:rsidRDefault="00465C44" w:rsidP="009B5067">
      <w:pPr>
        <w:rPr>
          <w:noProof/>
        </w:rPr>
      </w:pPr>
      <w:r w:rsidRPr="00AD733A">
        <w:rPr>
          <w:noProof/>
        </w:rPr>
        <w:t xml:space="preserve"> </w:t>
      </w:r>
    </w:p>
    <w:p w:rsidR="00851224" w:rsidRPr="00AD733A" w:rsidRDefault="00F53DBC" w:rsidP="009B5067">
      <w:pPr>
        <w:rPr>
          <w:noProof/>
        </w:rPr>
      </w:pPr>
      <w:r w:rsidRPr="00F53DBC">
        <w:rPr>
          <w:b/>
          <w:i/>
          <w:noProof/>
          <w:lang w:eastAsia="zh-TW"/>
        </w:rPr>
        <w:pict>
          <v:shape id="_x0000_s1040" type="#_x0000_t202" style="position:absolute;left:0;text-align:left;margin-left:192.1pt;margin-top:219.9pt;width:289.1pt;height:76.95pt;z-index:251669504;mso-height-percent:200;mso-height-percent:200;mso-width-relative:margin;mso-height-relative:margin">
            <v:textbox style="mso-next-textbox:#_x0000_s1040;mso-fit-shape-to-text:t">
              <w:txbxContent>
                <w:p w:rsidR="00BD2E39" w:rsidRPr="008F6E41" w:rsidRDefault="00BD2E39" w:rsidP="00AD733A">
                  <w:pPr>
                    <w:jc w:val="center"/>
                    <w:rPr>
                      <w:b/>
                    </w:rPr>
                  </w:pPr>
                  <w:r w:rsidRPr="008F6E41">
                    <w:rPr>
                      <w:b/>
                    </w:rPr>
                    <w:t xml:space="preserve">FY15 CLIENTS SERVED </w:t>
                  </w:r>
                  <w:r>
                    <w:rPr>
                      <w:b/>
                    </w:rPr>
                    <w:t>BY</w:t>
                  </w:r>
                  <w:r w:rsidRPr="008F6E41">
                    <w:rPr>
                      <w:b/>
                    </w:rPr>
                    <w:t xml:space="preserve"> DIVISION</w:t>
                  </w:r>
                </w:p>
                <w:p w:rsidR="00BD2E39" w:rsidRDefault="00BD2E39" w:rsidP="00AD733A">
                  <w:pPr>
                    <w:jc w:val="center"/>
                  </w:pPr>
                  <w:r>
                    <w:t xml:space="preserve">DS 181 </w:t>
                  </w:r>
                  <w:proofErr w:type="gramStart"/>
                  <w:r>
                    <w:t>Clients  /</w:t>
                  </w:r>
                  <w:proofErr w:type="gramEnd"/>
                  <w:r>
                    <w:t xml:space="preserve">   </w:t>
                  </w:r>
                  <w:r w:rsidRPr="00D21D5F">
                    <w:t>BH 1059 Clients</w:t>
                  </w:r>
                </w:p>
                <w:p w:rsidR="00BD2E39" w:rsidRDefault="00BD2E39" w:rsidP="00AD733A">
                  <w:pPr>
                    <w:jc w:val="center"/>
                  </w:pPr>
                  <w:r>
                    <w:t>Total Unduplicated Clients Served 1240</w:t>
                  </w:r>
                </w:p>
                <w:p w:rsidR="00BD2E39" w:rsidRDefault="00BD2E39" w:rsidP="00AD733A">
                  <w:pPr>
                    <w:jc w:val="center"/>
                  </w:pPr>
                </w:p>
                <w:p w:rsidR="00BD2E39" w:rsidRDefault="00BD2E39" w:rsidP="00AD733A">
                  <w:pPr>
                    <w:jc w:val="center"/>
                  </w:pPr>
                  <w:r>
                    <w:t>Total Unduplicated Clients Served in FY14 1175 (+65)</w:t>
                  </w:r>
                </w:p>
              </w:txbxContent>
            </v:textbox>
          </v:shape>
        </w:pict>
      </w:r>
      <w:r w:rsidR="007C3879" w:rsidRPr="00AD733A">
        <w:rPr>
          <w:noProof/>
        </w:rPr>
        <w:drawing>
          <wp:inline distT="0" distB="0" distL="0" distR="0">
            <wp:extent cx="5419725" cy="3609975"/>
            <wp:effectExtent l="0" t="0" r="0" b="0"/>
            <wp:docPr id="2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361A" w:rsidRPr="00AD733A" w:rsidRDefault="00851224" w:rsidP="009B5067">
      <w:pPr>
        <w:rPr>
          <w:b/>
          <w:i/>
        </w:rPr>
      </w:pPr>
      <w:r w:rsidRPr="00AD733A">
        <w:rPr>
          <w:noProof/>
        </w:rPr>
        <w:t xml:space="preserve">                                                           </w:t>
      </w:r>
    </w:p>
    <w:p w:rsidR="00037491" w:rsidRPr="00AD733A" w:rsidRDefault="007C3879" w:rsidP="009B5067">
      <w:r w:rsidRPr="00AD733A">
        <w:rPr>
          <w:b/>
          <w:i/>
        </w:rPr>
        <w:lastRenderedPageBreak/>
        <w:t>S</w:t>
      </w:r>
      <w:r w:rsidR="007761DD" w:rsidRPr="00AD733A">
        <w:rPr>
          <w:b/>
          <w:i/>
        </w:rPr>
        <w:t>urveys</w:t>
      </w:r>
      <w:r w:rsidR="007761DD" w:rsidRPr="00AD733A">
        <w:t xml:space="preserve"> were conducted toward end o</w:t>
      </w:r>
      <w:r w:rsidR="00904552" w:rsidRPr="00AD733A">
        <w:t>f FY</w:t>
      </w:r>
      <w:r w:rsidR="00DD09CE" w:rsidRPr="00AD733A">
        <w:t>15</w:t>
      </w:r>
      <w:r w:rsidR="00605D3A" w:rsidRPr="00AD733A">
        <w:t xml:space="preserve"> with the following over</w:t>
      </w:r>
      <w:r w:rsidR="007761DD" w:rsidRPr="00AD733A">
        <w:t>all results.</w:t>
      </w:r>
      <w:r w:rsidR="00280ED9" w:rsidRPr="00AD733A">
        <w:t xml:space="preserve">  Survey components contained a variety of elements including satisfaction. </w:t>
      </w:r>
    </w:p>
    <w:p w:rsidR="00037491" w:rsidRPr="00AD733A" w:rsidRDefault="00037491" w:rsidP="009B5067"/>
    <w:p w:rsidR="009B5067" w:rsidRPr="00AD733A" w:rsidRDefault="00F53DBC" w:rsidP="009B5067">
      <w:r>
        <w:rPr>
          <w:noProof/>
          <w:lang w:eastAsia="zh-TW"/>
        </w:rPr>
        <w:pict>
          <v:shape id="_x0000_s1033" type="#_x0000_t202" style="position:absolute;left:0;text-align:left;margin-left:.95pt;margin-top:4.8pt;width:496.3pt;height:18.9pt;z-index:251664384;mso-width-relative:margin;mso-height-relative:margin">
            <v:textbox style="mso-next-textbox:#_x0000_s1033">
              <w:txbxContent>
                <w:p w:rsidR="00BD2E39" w:rsidRPr="007B00DD" w:rsidRDefault="00BD2E39" w:rsidP="002534BC">
                  <w:pPr>
                    <w:jc w:val="left"/>
                    <w:rPr>
                      <w:b/>
                    </w:rPr>
                  </w:pPr>
                  <w:proofErr w:type="gramStart"/>
                  <w:r>
                    <w:rPr>
                      <w:b/>
                    </w:rPr>
                    <w:t>CLIENT  QUESTIONNAIRES</w:t>
                  </w:r>
                  <w:proofErr w:type="gramEnd"/>
                </w:p>
              </w:txbxContent>
            </v:textbox>
          </v:shape>
        </w:pict>
      </w:r>
      <w:r w:rsidR="00262FA0" w:rsidRPr="00AD733A">
        <w:rPr>
          <w:noProof/>
        </w:rPr>
        <w:t xml:space="preserve"> </w:t>
      </w:r>
    </w:p>
    <w:p w:rsidR="00463715" w:rsidRPr="00AD733A" w:rsidRDefault="00463715" w:rsidP="002534BC">
      <w:pPr>
        <w:jc w:val="left"/>
        <w:rPr>
          <w:b/>
        </w:rPr>
      </w:pPr>
    </w:p>
    <w:p w:rsidR="00463715" w:rsidRPr="00AD733A" w:rsidRDefault="00463715" w:rsidP="009B5067">
      <w:pPr>
        <w:rPr>
          <w:b/>
        </w:rPr>
      </w:pPr>
    </w:p>
    <w:p w:rsidR="00463715" w:rsidRPr="00AD733A" w:rsidRDefault="00F53DBC" w:rsidP="009B5067">
      <w:pPr>
        <w:rPr>
          <w:b/>
        </w:rPr>
      </w:pPr>
      <w:r w:rsidRPr="00F53DBC">
        <w:rPr>
          <w:noProof/>
          <w:lang w:eastAsia="zh-TW"/>
        </w:rPr>
        <w:pict>
          <v:shape id="_x0000_s1032" type="#_x0000_t202" style="position:absolute;left:0;text-align:left;margin-left:367.5pt;margin-top:1.8pt;width:125.25pt;height:244.8pt;z-index:251662336;mso-height-percent:200;mso-height-percent:200;mso-width-relative:margin;mso-height-relative:margin" stroked="f" strokecolor="#0070c0">
            <v:textbox style="mso-next-textbox:#_x0000_s1032;mso-fit-shape-to-text:t">
              <w:txbxContent>
                <w:p w:rsidR="00BD2E39" w:rsidRDefault="00BD2E39" w:rsidP="00AD733A">
                  <w:pPr>
                    <w:pBdr>
                      <w:top w:val="single" w:sz="4" w:space="1" w:color="auto"/>
                      <w:left w:val="single" w:sz="4" w:space="4" w:color="auto"/>
                      <w:bottom w:val="single" w:sz="4" w:space="1" w:color="auto"/>
                      <w:right w:val="single" w:sz="4" w:space="4" w:color="auto"/>
                    </w:pBdr>
                    <w:jc w:val="center"/>
                  </w:pPr>
                  <w:r>
                    <w:t xml:space="preserve">DS Division scored highest with 100% for all DT and CILA programs while Home Base scored 95%, which was an increase of 15% (scored 80% last year). BH programs all score 90 or above except for CCBYS 80% and MIOY 85%.  Client Satisfaction surveys utilized </w:t>
                  </w:r>
                  <w:proofErr w:type="gramStart"/>
                  <w:r>
                    <w:t>an agree</w:t>
                  </w:r>
                  <w:proofErr w:type="gramEnd"/>
                  <w:r>
                    <w:t xml:space="preserve"> / disagree selection. All scores way above bench mark 75%.</w:t>
                  </w:r>
                </w:p>
              </w:txbxContent>
            </v:textbox>
          </v:shape>
        </w:pict>
      </w:r>
      <w:r w:rsidR="003B5820" w:rsidRPr="00AD733A">
        <w:rPr>
          <w:b/>
          <w:noProof/>
        </w:rPr>
        <w:drawing>
          <wp:inline distT="0" distB="0" distL="0" distR="0">
            <wp:extent cx="4572000" cy="3143250"/>
            <wp:effectExtent l="1905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2E39" w:rsidRDefault="00BD2E39" w:rsidP="006C0748">
      <w:pPr>
        <w:keepNext/>
      </w:pPr>
    </w:p>
    <w:p w:rsidR="00F95A18" w:rsidRPr="00AD733A" w:rsidRDefault="005C6DFB" w:rsidP="006C0748">
      <w:pPr>
        <w:keepNext/>
      </w:pPr>
      <w:r w:rsidRPr="00AD733A">
        <w:t xml:space="preserve">DS clients, both residential and developmental training, expressed satisfaction with their programs requesting only new </w:t>
      </w:r>
      <w:r w:rsidR="00465C44" w:rsidRPr="00AD733A">
        <w:t xml:space="preserve">puzzle </w:t>
      </w:r>
      <w:r w:rsidRPr="00AD733A">
        <w:t xml:space="preserve">supplies, new computer and more work breaks. </w:t>
      </w:r>
    </w:p>
    <w:p w:rsidR="00F95A18" w:rsidRPr="00AD733A" w:rsidRDefault="00F95A18" w:rsidP="006C0748">
      <w:pPr>
        <w:keepNext/>
      </w:pPr>
    </w:p>
    <w:p w:rsidR="002534BC" w:rsidRPr="00AD733A" w:rsidRDefault="005C6DFB" w:rsidP="006C0748">
      <w:pPr>
        <w:keepNext/>
      </w:pPr>
      <w:r w:rsidRPr="00AD733A">
        <w:t xml:space="preserve">BH residential clients noted that the house has too many rules.  Outpatient Youth services suggested additional youth outings.  </w:t>
      </w:r>
    </w:p>
    <w:p w:rsidR="005C6DFB" w:rsidRPr="00AD733A" w:rsidRDefault="005C6DFB" w:rsidP="006C0748">
      <w:pPr>
        <w:keepNext/>
      </w:pPr>
      <w:r w:rsidRPr="00AD733A">
        <w:t xml:space="preserve">The SASS crisis program shared that </w:t>
      </w:r>
    </w:p>
    <w:p w:rsidR="005C6DFB" w:rsidRPr="00AD733A" w:rsidRDefault="005C6DFB" w:rsidP="002534BC">
      <w:pPr>
        <w:keepNext/>
        <w:ind w:left="720"/>
      </w:pPr>
      <w:r w:rsidRPr="00AD733A">
        <w:t xml:space="preserve">-it took too long to transport to the hospital, </w:t>
      </w:r>
    </w:p>
    <w:p w:rsidR="00463715" w:rsidRPr="00AD733A" w:rsidRDefault="005C6DFB" w:rsidP="002534BC">
      <w:pPr>
        <w:keepNext/>
        <w:ind w:left="720"/>
      </w:pPr>
      <w:r w:rsidRPr="00AD733A">
        <w:t>-once released from the hospital, it took too long to see a counselor</w:t>
      </w:r>
      <w:r w:rsidR="002805DA" w:rsidRPr="00AD733A">
        <w:t>,</w:t>
      </w:r>
    </w:p>
    <w:p w:rsidR="005C6DFB" w:rsidRPr="00AD733A" w:rsidRDefault="005C6DFB" w:rsidP="002534BC">
      <w:pPr>
        <w:keepNext/>
        <w:ind w:left="720"/>
      </w:pPr>
      <w:r w:rsidRPr="00AD733A">
        <w:t>-unable to contact child while in hospital and</w:t>
      </w:r>
    </w:p>
    <w:p w:rsidR="005C6DFB" w:rsidRPr="00AD733A" w:rsidRDefault="005C6DFB" w:rsidP="002534BC">
      <w:pPr>
        <w:keepNext/>
        <w:ind w:left="720"/>
      </w:pPr>
      <w:r w:rsidRPr="00AD733A">
        <w:t>-offices are too small and difficult to complete paperwork in.</w:t>
      </w:r>
    </w:p>
    <w:p w:rsidR="005C6DFB" w:rsidRPr="00AD733A" w:rsidRDefault="005C6DFB" w:rsidP="005C6DFB">
      <w:pPr>
        <w:keepNext/>
      </w:pPr>
    </w:p>
    <w:p w:rsidR="005C6DFB" w:rsidRPr="00AD733A" w:rsidRDefault="005C6DFB" w:rsidP="005C6DFB">
      <w:pPr>
        <w:keepNext/>
      </w:pPr>
      <w:r w:rsidRPr="00AD733A">
        <w:t>All suggestions / comments are forwarded to Assistant Division Directors for review and analysis of systems to improve outcomes services.</w:t>
      </w:r>
    </w:p>
    <w:p w:rsidR="005C6DFB" w:rsidRPr="00AD733A" w:rsidRDefault="005C6DFB" w:rsidP="005C6DFB">
      <w:pPr>
        <w:keepNext/>
        <w:rPr>
          <w:b/>
        </w:rPr>
      </w:pPr>
    </w:p>
    <w:p w:rsidR="009B5067" w:rsidRPr="00AD733A" w:rsidRDefault="009B5067" w:rsidP="005841FD">
      <w:pPr>
        <w:pBdr>
          <w:top w:val="single" w:sz="4" w:space="1" w:color="auto"/>
          <w:left w:val="single" w:sz="4" w:space="4" w:color="auto"/>
          <w:bottom w:val="single" w:sz="4" w:space="1" w:color="auto"/>
          <w:right w:val="single" w:sz="4" w:space="4" w:color="auto"/>
        </w:pBdr>
        <w:rPr>
          <w:b/>
        </w:rPr>
      </w:pPr>
      <w:r w:rsidRPr="00AD733A">
        <w:rPr>
          <w:b/>
        </w:rPr>
        <w:t>STAFF</w:t>
      </w:r>
      <w:r w:rsidR="00280ED9" w:rsidRPr="00AD733A">
        <w:rPr>
          <w:b/>
        </w:rPr>
        <w:t xml:space="preserve"> QUESTION</w:t>
      </w:r>
      <w:r w:rsidR="00CB7C04" w:rsidRPr="00AD733A">
        <w:rPr>
          <w:b/>
        </w:rPr>
        <w:t>N</w:t>
      </w:r>
      <w:r w:rsidR="00280ED9" w:rsidRPr="00AD733A">
        <w:rPr>
          <w:b/>
        </w:rPr>
        <w:t xml:space="preserve">AIRES </w:t>
      </w:r>
    </w:p>
    <w:p w:rsidR="005841FD" w:rsidRPr="00AD733A" w:rsidRDefault="005841FD" w:rsidP="009B5067">
      <w:pPr>
        <w:rPr>
          <w:b/>
        </w:rPr>
      </w:pPr>
    </w:p>
    <w:p w:rsidR="005A4AC2" w:rsidRPr="00AD733A" w:rsidRDefault="00AC7B74" w:rsidP="009B5067">
      <w:r w:rsidRPr="00AD733A">
        <w:t>Of collected sta</w:t>
      </w:r>
      <w:r w:rsidR="005A4AC2" w:rsidRPr="00AD733A">
        <w:t xml:space="preserve">ff satisfaction </w:t>
      </w:r>
      <w:r w:rsidR="003B5820" w:rsidRPr="00AD733A">
        <w:t>surveys</w:t>
      </w:r>
      <w:r w:rsidRPr="00AD733A">
        <w:t>, 68</w:t>
      </w:r>
      <w:r w:rsidR="003B5820" w:rsidRPr="00AD733A">
        <w:t>%</w:t>
      </w:r>
      <w:r w:rsidR="005A4AC2" w:rsidRPr="00AD733A">
        <w:t xml:space="preserve"> </w:t>
      </w:r>
      <w:r w:rsidRPr="00AD733A">
        <w:t xml:space="preserve">was completed at the May 2015 Staff Appreciation Day.  </w:t>
      </w:r>
      <w:r w:rsidR="00F3351E" w:rsidRPr="00AD733A">
        <w:t xml:space="preserve">A scale of </w:t>
      </w:r>
      <w:r w:rsidR="008303C8" w:rsidRPr="00AD733A">
        <w:t xml:space="preserve">agree / disagree selections was offered in 12 categories with total 46 elements ranging from </w:t>
      </w:r>
      <w:r w:rsidR="002534BC" w:rsidRPr="00AD733A">
        <w:t>supervision</w:t>
      </w:r>
      <w:r w:rsidR="008303C8" w:rsidRPr="00AD733A">
        <w:t xml:space="preserve">, benefits, mission, to value. </w:t>
      </w:r>
      <w:r w:rsidR="00CB2311" w:rsidRPr="00AD733A">
        <w:rPr>
          <w:i/>
        </w:rPr>
        <w:t>The overall a</w:t>
      </w:r>
      <w:r w:rsidR="00FB39C0" w:rsidRPr="00AD733A">
        <w:rPr>
          <w:i/>
        </w:rPr>
        <w:t>verage</w:t>
      </w:r>
      <w:r w:rsidR="00CB2311" w:rsidRPr="00AD733A">
        <w:rPr>
          <w:i/>
        </w:rPr>
        <w:t xml:space="preserve"> positive </w:t>
      </w:r>
      <w:r w:rsidR="00FB39C0" w:rsidRPr="00AD733A">
        <w:rPr>
          <w:i/>
        </w:rPr>
        <w:t xml:space="preserve">score was </w:t>
      </w:r>
      <w:r w:rsidRPr="00AD733A">
        <w:rPr>
          <w:i/>
        </w:rPr>
        <w:t>88%, 2 points higher than FY14 score of 86%</w:t>
      </w:r>
      <w:r w:rsidR="00CB7C04" w:rsidRPr="00AD733A">
        <w:rPr>
          <w:i/>
        </w:rPr>
        <w:t>.</w:t>
      </w:r>
      <w:r w:rsidRPr="00AD733A">
        <w:t xml:space="preserve">  The highest category was noted in </w:t>
      </w:r>
      <w:r w:rsidR="008303C8" w:rsidRPr="00AD733A">
        <w:t xml:space="preserve">Safety at 95%, both Pride of Association and Sense of Shared Mission at 94%, and both </w:t>
      </w:r>
      <w:r w:rsidRPr="00AD733A">
        <w:t>Diversity Value</w:t>
      </w:r>
      <w:r w:rsidR="008303C8" w:rsidRPr="00AD733A">
        <w:t xml:space="preserve"> and Job Fit at 93</w:t>
      </w:r>
      <w:r w:rsidR="00FB39C0" w:rsidRPr="00AD733A">
        <w:t>%.</w:t>
      </w:r>
      <w:r w:rsidR="009329E5" w:rsidRPr="00AD733A">
        <w:t xml:space="preserve"> </w:t>
      </w:r>
      <w:r w:rsidR="008303C8" w:rsidRPr="00AD733A">
        <w:t xml:space="preserve">Lowest category was </w:t>
      </w:r>
      <w:r w:rsidR="00904552" w:rsidRPr="00AD733A">
        <w:t xml:space="preserve">Pay and Benefits at 78%, </w:t>
      </w:r>
      <w:r w:rsidR="008303C8" w:rsidRPr="00AD733A">
        <w:t xml:space="preserve">with Pace of </w:t>
      </w:r>
      <w:r w:rsidR="00904552" w:rsidRPr="00AD733A">
        <w:t>W</w:t>
      </w:r>
      <w:r w:rsidR="008303C8" w:rsidRPr="00AD733A">
        <w:t xml:space="preserve">ork next at 74% </w:t>
      </w:r>
      <w:r w:rsidR="008303C8" w:rsidRPr="00AD733A">
        <w:lastRenderedPageBreak/>
        <w:t xml:space="preserve">and </w:t>
      </w:r>
      <w:r w:rsidR="00904552" w:rsidRPr="00AD733A">
        <w:t xml:space="preserve">Supervisor Staff Development Focus at 71%.  </w:t>
      </w:r>
      <w:r w:rsidR="009329E5" w:rsidRPr="00AD733A">
        <w:t xml:space="preserve">Of particular interest in the survey </w:t>
      </w:r>
      <w:r w:rsidR="008303C8" w:rsidRPr="00AD733A">
        <w:t xml:space="preserve">elements </w:t>
      </w:r>
      <w:r w:rsidR="00490E2B" w:rsidRPr="00AD733A">
        <w:t xml:space="preserve">were the </w:t>
      </w:r>
      <w:r w:rsidR="0011225E" w:rsidRPr="00AD733A">
        <w:t xml:space="preserve">top three percentage </w:t>
      </w:r>
      <w:r w:rsidR="00490E2B" w:rsidRPr="00AD733A">
        <w:t>ratings</w:t>
      </w:r>
      <w:r w:rsidR="0011225E" w:rsidRPr="00AD733A">
        <w:t>, both high and low</w:t>
      </w:r>
      <w:r w:rsidR="00CB7C04" w:rsidRPr="00AD733A">
        <w:t>, as follows:</w:t>
      </w:r>
      <w:r w:rsidR="00CB2311" w:rsidRPr="00AD733A">
        <w:t xml:space="preserve"> </w:t>
      </w:r>
    </w:p>
    <w:p w:rsidR="008303C8" w:rsidRPr="00AD733A" w:rsidRDefault="008303C8" w:rsidP="008303C8">
      <w:pPr>
        <w:pStyle w:val="ListParagraph"/>
        <w:numPr>
          <w:ilvl w:val="0"/>
          <w:numId w:val="25"/>
        </w:numPr>
      </w:pPr>
      <w:r w:rsidRPr="00AD733A">
        <w:t xml:space="preserve">100% agreed that the contributions and behaviors most valued in my Division are not specific to any one race, ethnicity, gender, age, </w:t>
      </w:r>
      <w:r w:rsidR="003D0F45" w:rsidRPr="00AD733A">
        <w:t>religion, d</w:t>
      </w:r>
      <w:r w:rsidR="002805DA" w:rsidRPr="00AD733A">
        <w:t>isability or sexual orientation;</w:t>
      </w:r>
    </w:p>
    <w:p w:rsidR="0062038D" w:rsidRPr="00AD733A" w:rsidRDefault="0062038D" w:rsidP="008303C8">
      <w:pPr>
        <w:pStyle w:val="ListParagraph"/>
        <w:numPr>
          <w:ilvl w:val="0"/>
          <w:numId w:val="25"/>
        </w:numPr>
      </w:pPr>
      <w:r w:rsidRPr="00AD733A">
        <w:t>97% agreed that they have the appropriate amount of</w:t>
      </w:r>
      <w:r w:rsidR="002805DA" w:rsidRPr="00AD733A">
        <w:t xml:space="preserve"> independence to work;</w:t>
      </w:r>
    </w:p>
    <w:p w:rsidR="0062038D" w:rsidRPr="00AD733A" w:rsidRDefault="0062038D" w:rsidP="008303C8">
      <w:pPr>
        <w:pStyle w:val="ListParagraph"/>
        <w:numPr>
          <w:ilvl w:val="0"/>
          <w:numId w:val="25"/>
        </w:numPr>
      </w:pPr>
      <w:r w:rsidRPr="00AD733A">
        <w:t>97% agree</w:t>
      </w:r>
      <w:r w:rsidR="00AE7CA2" w:rsidRPr="00AD733A">
        <w:t>d</w:t>
      </w:r>
      <w:r w:rsidRPr="00AD733A">
        <w:t xml:space="preserve"> that my responsibilities related to safety have </w:t>
      </w:r>
      <w:r w:rsidR="002805DA" w:rsidRPr="00AD733A">
        <w:t>been clearly communicated to me;</w:t>
      </w:r>
    </w:p>
    <w:p w:rsidR="0011225E" w:rsidRPr="00AD733A" w:rsidRDefault="0011225E" w:rsidP="008303C8">
      <w:pPr>
        <w:pStyle w:val="ListParagraph"/>
        <w:numPr>
          <w:ilvl w:val="0"/>
          <w:numId w:val="25"/>
        </w:numPr>
      </w:pPr>
      <w:r w:rsidRPr="00AD733A">
        <w:t>44% disagreed that the supervisor discussed</w:t>
      </w:r>
      <w:r w:rsidR="002805DA" w:rsidRPr="00AD733A">
        <w:t xml:space="preserve"> career opportunities with them;</w:t>
      </w:r>
    </w:p>
    <w:p w:rsidR="00AE7CA2" w:rsidRPr="00AD733A" w:rsidRDefault="00AE7CA2" w:rsidP="008303C8">
      <w:pPr>
        <w:pStyle w:val="ListParagraph"/>
        <w:numPr>
          <w:ilvl w:val="0"/>
          <w:numId w:val="25"/>
        </w:numPr>
      </w:pPr>
      <w:r w:rsidRPr="00AD733A">
        <w:t>33% disagreed that their program has enough staff to get work don</w:t>
      </w:r>
      <w:r w:rsidR="002805DA" w:rsidRPr="00AD733A">
        <w:t>e in a quality manner;</w:t>
      </w:r>
    </w:p>
    <w:p w:rsidR="00AE7CA2" w:rsidRPr="00AD733A" w:rsidRDefault="0011225E" w:rsidP="008303C8">
      <w:pPr>
        <w:pStyle w:val="ListParagraph"/>
        <w:numPr>
          <w:ilvl w:val="0"/>
          <w:numId w:val="25"/>
        </w:numPr>
      </w:pPr>
      <w:r w:rsidRPr="00AD733A">
        <w:t>32</w:t>
      </w:r>
      <w:r w:rsidR="00AE7CA2" w:rsidRPr="00AD733A">
        <w:t>% disagreed that</w:t>
      </w:r>
      <w:r w:rsidRPr="00AD733A">
        <w:t xml:space="preserve"> they are satisfied with their compensation</w:t>
      </w:r>
      <w:r w:rsidR="00AE7CA2" w:rsidRPr="00AD733A">
        <w:t>.</w:t>
      </w:r>
    </w:p>
    <w:p w:rsidR="008303C8" w:rsidRPr="00AD733A" w:rsidRDefault="008303C8" w:rsidP="009B5067"/>
    <w:p w:rsidR="00FC51F8" w:rsidRPr="00AD733A" w:rsidRDefault="006159F2" w:rsidP="009B5067">
      <w:r w:rsidRPr="00AD733A">
        <w:rPr>
          <w:b/>
        </w:rPr>
        <w:t>Most enjoyable aspects of my jo</w:t>
      </w:r>
      <w:r w:rsidR="00222CB2" w:rsidRPr="00AD733A">
        <w:rPr>
          <w:b/>
        </w:rPr>
        <w:t>b are…</w:t>
      </w:r>
      <w:r w:rsidR="00222CB2" w:rsidRPr="00AD733A">
        <w:t xml:space="preserve">working with clients / consumers; working with staff/peers and the team atmosphere. </w:t>
      </w:r>
    </w:p>
    <w:p w:rsidR="00B854A6" w:rsidRPr="00AD733A" w:rsidRDefault="00B854A6" w:rsidP="009B5067">
      <w:r w:rsidRPr="00AD733A">
        <w:tab/>
      </w:r>
    </w:p>
    <w:p w:rsidR="00B854A6" w:rsidRPr="00AD733A" w:rsidRDefault="00222CB2" w:rsidP="009B5067">
      <w:r w:rsidRPr="00AD733A">
        <w:rPr>
          <w:b/>
        </w:rPr>
        <w:t>Most repeated dislikes</w:t>
      </w:r>
      <w:r w:rsidR="006159F2" w:rsidRPr="00AD733A">
        <w:rPr>
          <w:b/>
        </w:rPr>
        <w:t xml:space="preserve"> of my job</w:t>
      </w:r>
      <w:r w:rsidRPr="00AD733A">
        <w:rPr>
          <w:b/>
        </w:rPr>
        <w:t xml:space="preserve"> are</w:t>
      </w:r>
      <w:r w:rsidR="009329E5" w:rsidRPr="00AD733A">
        <w:t>…</w:t>
      </w:r>
      <w:r w:rsidRPr="00AD733A">
        <w:t>workload (paperwork, direct service requirements, caseload numbers) and stress</w:t>
      </w:r>
      <w:r w:rsidR="00CB7C04" w:rsidRPr="00AD733A">
        <w:t>.</w:t>
      </w:r>
      <w:r w:rsidR="00B854A6" w:rsidRPr="00AD733A">
        <w:t xml:space="preserve"> </w:t>
      </w:r>
    </w:p>
    <w:p w:rsidR="00B854A6" w:rsidRPr="00AD733A" w:rsidRDefault="00B854A6" w:rsidP="009B5067">
      <w:r w:rsidRPr="00AD733A">
        <w:tab/>
      </w:r>
    </w:p>
    <w:p w:rsidR="00465C44" w:rsidRPr="00AD733A" w:rsidRDefault="00B854A6" w:rsidP="009B5067">
      <w:r w:rsidRPr="00AD733A">
        <w:rPr>
          <w:b/>
        </w:rPr>
        <w:t xml:space="preserve">Training </w:t>
      </w:r>
      <w:r w:rsidR="006159F2" w:rsidRPr="00AD733A">
        <w:rPr>
          <w:b/>
        </w:rPr>
        <w:t>needs</w:t>
      </w:r>
      <w:r w:rsidR="006159F2" w:rsidRPr="00AD733A">
        <w:t>…..</w:t>
      </w:r>
      <w:r w:rsidRPr="00AD733A">
        <w:t>responses</w:t>
      </w:r>
      <w:r w:rsidR="00222CB2" w:rsidRPr="00AD733A">
        <w:t xml:space="preserve"> include</w:t>
      </w:r>
      <w:r w:rsidRPr="00AD733A">
        <w:t xml:space="preserve"> counseling techniques, condensing paperwork requirements, behavior skills, computer training, </w:t>
      </w:r>
      <w:r w:rsidR="00465C44" w:rsidRPr="00AD733A">
        <w:t xml:space="preserve">and </w:t>
      </w:r>
      <w:r w:rsidR="00904552" w:rsidRPr="00AD733A">
        <w:t>clinical diagnostic</w:t>
      </w:r>
      <w:r w:rsidRPr="00AD733A">
        <w:t xml:space="preserve"> accuracy. </w:t>
      </w:r>
      <w:r w:rsidR="00222CB2" w:rsidRPr="00AD733A">
        <w:t>Training areas are quite typical of social service agencies</w:t>
      </w:r>
      <w:r w:rsidR="00465C44" w:rsidRPr="00AD733A">
        <w:t xml:space="preserve"> and tend to be consistent for FCCI for over the last 5 years</w:t>
      </w:r>
      <w:r w:rsidR="00222CB2" w:rsidRPr="00AD733A">
        <w:t>.  Topics are filtered down to supervisors as well as area of interest for Staff Appreciation Days (spring and fall).</w:t>
      </w:r>
      <w:r w:rsidR="00465C44" w:rsidRPr="00AD733A">
        <w:t xml:space="preserve">  </w:t>
      </w:r>
      <w:r w:rsidRPr="00AD733A">
        <w:t xml:space="preserve">Gathered information is always referred to clinical supervision for topic </w:t>
      </w:r>
      <w:r w:rsidR="00FC51F8" w:rsidRPr="00AD733A">
        <w:t xml:space="preserve">training </w:t>
      </w:r>
      <w:r w:rsidRPr="00AD733A">
        <w:t>consideration.</w:t>
      </w:r>
      <w:r w:rsidR="00FC51F8" w:rsidRPr="00AD733A">
        <w:t xml:space="preserve">  </w:t>
      </w:r>
    </w:p>
    <w:p w:rsidR="005A6E92" w:rsidRPr="00AD733A" w:rsidRDefault="005A6E92" w:rsidP="009158C6"/>
    <w:p w:rsidR="005A6E92" w:rsidRPr="00AD733A" w:rsidRDefault="009158C6" w:rsidP="009158C6">
      <w:r w:rsidRPr="00AD733A">
        <w:t xml:space="preserve">Each supervisor received a personal confidential copy of the comments made with a copy going </w:t>
      </w:r>
    </w:p>
    <w:p w:rsidR="00BD2E39" w:rsidRPr="00BD2E39" w:rsidRDefault="009158C6" w:rsidP="009158C6">
      <w:proofErr w:type="gramStart"/>
      <w:r w:rsidRPr="00AD733A">
        <w:t>to</w:t>
      </w:r>
      <w:proofErr w:type="gramEnd"/>
      <w:r w:rsidRPr="00AD733A">
        <w:t xml:space="preserve"> their personnel file.  All other percentages are forwarded to the Management team for review and analysis of </w:t>
      </w:r>
      <w:r w:rsidR="00601A94" w:rsidRPr="00AD733A">
        <w:t xml:space="preserve">FCCI </w:t>
      </w:r>
      <w:r w:rsidRPr="00AD733A">
        <w:t>systems to effect a change in outcomes services.</w:t>
      </w:r>
    </w:p>
    <w:tbl>
      <w:tblPr>
        <w:tblpPr w:leftFromText="180" w:rightFromText="180" w:vertAnchor="page" w:horzAnchor="margin" w:tblpY="8965"/>
        <w:tblW w:w="9478" w:type="dxa"/>
        <w:tblLook w:val="04A0"/>
      </w:tblPr>
      <w:tblGrid>
        <w:gridCol w:w="1671"/>
        <w:gridCol w:w="670"/>
        <w:gridCol w:w="1115"/>
        <w:gridCol w:w="1215"/>
        <w:gridCol w:w="759"/>
        <w:gridCol w:w="897"/>
        <w:gridCol w:w="1239"/>
        <w:gridCol w:w="789"/>
        <w:gridCol w:w="1123"/>
      </w:tblGrid>
      <w:tr w:rsidR="00BD2E39" w:rsidRPr="00AD733A" w:rsidTr="00BD2E39">
        <w:trPr>
          <w:trHeight w:val="315"/>
        </w:trPr>
        <w:tc>
          <w:tcPr>
            <w:tcW w:w="947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E39" w:rsidRPr="00AD733A" w:rsidRDefault="00BD2E39" w:rsidP="00BD2E39">
            <w:pPr>
              <w:jc w:val="left"/>
            </w:pPr>
            <w:r w:rsidRPr="00AD733A">
              <w:rPr>
                <w:b/>
              </w:rPr>
              <w:t>STAKEHOLDERS QUESTIONNAIRE</w:t>
            </w:r>
          </w:p>
        </w:tc>
      </w:tr>
      <w:tr w:rsidR="00BD2E39" w:rsidRPr="00AD733A" w:rsidTr="00BD2E39">
        <w:trPr>
          <w:trHeight w:val="315"/>
        </w:trPr>
        <w:tc>
          <w:tcPr>
            <w:tcW w:w="167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left"/>
            </w:pPr>
            <w:r w:rsidRPr="00AD733A">
              <w:t xml:space="preserve">2015 </w:t>
            </w:r>
          </w:p>
        </w:tc>
        <w:tc>
          <w:tcPr>
            <w:tcW w:w="670" w:type="dxa"/>
            <w:tcBorders>
              <w:top w:val="single" w:sz="4" w:space="0" w:color="auto"/>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Sent</w:t>
            </w:r>
          </w:p>
        </w:tc>
        <w:tc>
          <w:tcPr>
            <w:tcW w:w="1115" w:type="dxa"/>
            <w:tcBorders>
              <w:top w:val="single" w:sz="4" w:space="0" w:color="auto"/>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Returned</w:t>
            </w:r>
          </w:p>
        </w:tc>
        <w:tc>
          <w:tcPr>
            <w:tcW w:w="1215" w:type="dxa"/>
            <w:tcBorders>
              <w:top w:val="single" w:sz="4" w:space="0" w:color="auto"/>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 Returned</w:t>
            </w:r>
          </w:p>
        </w:tc>
        <w:tc>
          <w:tcPr>
            <w:tcW w:w="759" w:type="dxa"/>
            <w:tcBorders>
              <w:top w:val="single" w:sz="4" w:space="0" w:color="auto"/>
              <w:left w:val="nil"/>
              <w:bottom w:val="single" w:sz="8" w:space="0" w:color="auto"/>
              <w:right w:val="single" w:sz="8" w:space="0" w:color="auto"/>
            </w:tcBorders>
            <w:shd w:val="clear" w:color="auto" w:fill="auto"/>
            <w:vAlign w:val="bottom"/>
            <w:hideMark/>
          </w:tcPr>
          <w:p w:rsidR="00BD2E39" w:rsidRPr="00AD733A" w:rsidRDefault="00BD2E39" w:rsidP="00BD2E39">
            <w:pPr>
              <w:jc w:val="center"/>
            </w:pPr>
            <w:r w:rsidRPr="00AD733A">
              <w:t>Poor</w:t>
            </w:r>
          </w:p>
        </w:tc>
        <w:tc>
          <w:tcPr>
            <w:tcW w:w="897" w:type="dxa"/>
            <w:tcBorders>
              <w:top w:val="single" w:sz="4" w:space="0" w:color="auto"/>
              <w:left w:val="nil"/>
              <w:bottom w:val="single" w:sz="8" w:space="0" w:color="auto"/>
              <w:right w:val="single" w:sz="8" w:space="0" w:color="auto"/>
            </w:tcBorders>
            <w:shd w:val="clear" w:color="auto" w:fill="auto"/>
            <w:vAlign w:val="bottom"/>
            <w:hideMark/>
          </w:tcPr>
          <w:p w:rsidR="00BD2E39" w:rsidRPr="00AD733A" w:rsidRDefault="00BD2E39" w:rsidP="00BD2E39">
            <w:pPr>
              <w:jc w:val="center"/>
            </w:pPr>
            <w:r w:rsidRPr="00AD733A">
              <w:t>Fair</w:t>
            </w:r>
          </w:p>
        </w:tc>
        <w:tc>
          <w:tcPr>
            <w:tcW w:w="1239" w:type="dxa"/>
            <w:tcBorders>
              <w:top w:val="single" w:sz="4" w:space="0" w:color="auto"/>
              <w:left w:val="nil"/>
              <w:bottom w:val="single" w:sz="8" w:space="0" w:color="auto"/>
              <w:right w:val="single" w:sz="8" w:space="0" w:color="auto"/>
            </w:tcBorders>
            <w:shd w:val="clear" w:color="auto" w:fill="auto"/>
            <w:vAlign w:val="bottom"/>
            <w:hideMark/>
          </w:tcPr>
          <w:p w:rsidR="00BD2E39" w:rsidRPr="00AD733A" w:rsidRDefault="00BD2E39" w:rsidP="00BD2E39">
            <w:pPr>
              <w:jc w:val="center"/>
            </w:pPr>
            <w:r w:rsidRPr="00AD733A">
              <w:t>Adequate</w:t>
            </w:r>
          </w:p>
        </w:tc>
        <w:tc>
          <w:tcPr>
            <w:tcW w:w="789" w:type="dxa"/>
            <w:tcBorders>
              <w:top w:val="single" w:sz="4" w:space="0" w:color="auto"/>
              <w:left w:val="nil"/>
              <w:bottom w:val="single" w:sz="8" w:space="0" w:color="auto"/>
              <w:right w:val="single" w:sz="8" w:space="0" w:color="auto"/>
            </w:tcBorders>
            <w:shd w:val="clear" w:color="auto" w:fill="auto"/>
            <w:vAlign w:val="bottom"/>
            <w:hideMark/>
          </w:tcPr>
          <w:p w:rsidR="00BD2E39" w:rsidRPr="00AD733A" w:rsidRDefault="00BD2E39" w:rsidP="00BD2E39">
            <w:pPr>
              <w:jc w:val="center"/>
            </w:pPr>
            <w:r w:rsidRPr="00AD733A">
              <w:t>Good</w:t>
            </w:r>
          </w:p>
        </w:tc>
        <w:tc>
          <w:tcPr>
            <w:tcW w:w="1123" w:type="dxa"/>
            <w:tcBorders>
              <w:top w:val="single" w:sz="4" w:space="0" w:color="auto"/>
              <w:left w:val="nil"/>
              <w:bottom w:val="single" w:sz="8" w:space="0" w:color="auto"/>
              <w:right w:val="single" w:sz="8" w:space="0" w:color="auto"/>
            </w:tcBorders>
            <w:shd w:val="clear" w:color="auto" w:fill="auto"/>
            <w:vAlign w:val="bottom"/>
            <w:hideMark/>
          </w:tcPr>
          <w:p w:rsidR="00BD2E39" w:rsidRPr="00AD733A" w:rsidRDefault="00BD2E39" w:rsidP="00BD2E39">
            <w:pPr>
              <w:jc w:val="center"/>
            </w:pPr>
            <w:r w:rsidRPr="00AD733A">
              <w:t>Excellent</w:t>
            </w:r>
          </w:p>
        </w:tc>
      </w:tr>
      <w:tr w:rsidR="00BD2E39" w:rsidRPr="00AD733A" w:rsidTr="00BD2E39">
        <w:trPr>
          <w:trHeight w:val="330"/>
        </w:trPr>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left"/>
            </w:pPr>
            <w:r w:rsidRPr="00AD733A">
              <w:t>DS - Agencies</w:t>
            </w:r>
          </w:p>
        </w:tc>
        <w:tc>
          <w:tcPr>
            <w:tcW w:w="670"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26</w:t>
            </w:r>
          </w:p>
        </w:tc>
        <w:tc>
          <w:tcPr>
            <w:tcW w:w="1115"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5</w:t>
            </w:r>
          </w:p>
        </w:tc>
        <w:tc>
          <w:tcPr>
            <w:tcW w:w="1215"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19%</w:t>
            </w:r>
          </w:p>
        </w:tc>
        <w:tc>
          <w:tcPr>
            <w:tcW w:w="75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897"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123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78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40%</w:t>
            </w:r>
          </w:p>
        </w:tc>
        <w:tc>
          <w:tcPr>
            <w:tcW w:w="1123"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52%</w:t>
            </w:r>
          </w:p>
        </w:tc>
      </w:tr>
      <w:tr w:rsidR="00BD2E39" w:rsidRPr="00AD733A" w:rsidTr="00BD2E39">
        <w:trPr>
          <w:trHeight w:val="330"/>
        </w:trPr>
        <w:tc>
          <w:tcPr>
            <w:tcW w:w="1671"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left"/>
            </w:pPr>
            <w:r w:rsidRPr="00AD733A">
              <w:t>BH - Agencies</w:t>
            </w:r>
          </w:p>
        </w:tc>
        <w:tc>
          <w:tcPr>
            <w:tcW w:w="670"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60</w:t>
            </w:r>
          </w:p>
        </w:tc>
        <w:tc>
          <w:tcPr>
            <w:tcW w:w="1115"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9</w:t>
            </w:r>
          </w:p>
        </w:tc>
        <w:tc>
          <w:tcPr>
            <w:tcW w:w="1215"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15%</w:t>
            </w:r>
          </w:p>
        </w:tc>
        <w:tc>
          <w:tcPr>
            <w:tcW w:w="75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897"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3%</w:t>
            </w:r>
          </w:p>
        </w:tc>
        <w:tc>
          <w:tcPr>
            <w:tcW w:w="123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789"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25%</w:t>
            </w:r>
          </w:p>
        </w:tc>
        <w:tc>
          <w:tcPr>
            <w:tcW w:w="1123"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72%</w:t>
            </w:r>
          </w:p>
        </w:tc>
      </w:tr>
      <w:tr w:rsidR="00BD2E39" w:rsidRPr="00AD733A" w:rsidTr="00BD2E39">
        <w:trPr>
          <w:trHeight w:val="315"/>
        </w:trPr>
        <w:tc>
          <w:tcPr>
            <w:tcW w:w="1671" w:type="dxa"/>
            <w:tcBorders>
              <w:top w:val="nil"/>
              <w:left w:val="single" w:sz="8" w:space="0" w:color="auto"/>
              <w:bottom w:val="single" w:sz="8" w:space="0" w:color="auto"/>
              <w:right w:val="nil"/>
            </w:tcBorders>
            <w:shd w:val="clear" w:color="auto" w:fill="auto"/>
            <w:noWrap/>
            <w:vAlign w:val="bottom"/>
            <w:hideMark/>
          </w:tcPr>
          <w:p w:rsidR="00BD2E39" w:rsidRPr="00AD733A" w:rsidRDefault="00BD2E39" w:rsidP="00BD2E39">
            <w:pPr>
              <w:jc w:val="left"/>
            </w:pPr>
            <w:r w:rsidRPr="00AD733A">
              <w:t xml:space="preserve">Agency </w:t>
            </w:r>
          </w:p>
        </w:tc>
        <w:tc>
          <w:tcPr>
            <w:tcW w:w="670"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7</w:t>
            </w:r>
          </w:p>
        </w:tc>
        <w:tc>
          <w:tcPr>
            <w:tcW w:w="1115" w:type="dxa"/>
            <w:tcBorders>
              <w:top w:val="nil"/>
              <w:left w:val="nil"/>
              <w:bottom w:val="single" w:sz="8" w:space="0" w:color="auto"/>
              <w:right w:val="nil"/>
            </w:tcBorders>
            <w:shd w:val="clear" w:color="auto" w:fill="auto"/>
            <w:noWrap/>
            <w:vAlign w:val="bottom"/>
            <w:hideMark/>
          </w:tcPr>
          <w:p w:rsidR="00BD2E39" w:rsidRPr="00AD733A" w:rsidRDefault="00BD2E39" w:rsidP="00BD2E39">
            <w:pPr>
              <w:jc w:val="center"/>
            </w:pPr>
            <w:r w:rsidRPr="00AD733A">
              <w:t>1</w:t>
            </w:r>
          </w:p>
        </w:tc>
        <w:tc>
          <w:tcPr>
            <w:tcW w:w="1215"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15%</w:t>
            </w:r>
          </w:p>
        </w:tc>
        <w:tc>
          <w:tcPr>
            <w:tcW w:w="759" w:type="dxa"/>
            <w:tcBorders>
              <w:top w:val="nil"/>
              <w:left w:val="nil"/>
              <w:bottom w:val="single" w:sz="8" w:space="0" w:color="auto"/>
              <w:right w:val="nil"/>
            </w:tcBorders>
            <w:shd w:val="clear" w:color="auto" w:fill="auto"/>
            <w:noWrap/>
            <w:vAlign w:val="bottom"/>
            <w:hideMark/>
          </w:tcPr>
          <w:p w:rsidR="00BD2E39" w:rsidRPr="00AD733A" w:rsidRDefault="00BD2E39" w:rsidP="00BD2E39">
            <w:pPr>
              <w:jc w:val="center"/>
            </w:pPr>
            <w:r w:rsidRPr="00AD733A">
              <w:t>0%</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1239" w:type="dxa"/>
            <w:tcBorders>
              <w:top w:val="nil"/>
              <w:left w:val="nil"/>
              <w:bottom w:val="single" w:sz="8" w:space="0" w:color="auto"/>
              <w:right w:val="nil"/>
            </w:tcBorders>
            <w:shd w:val="clear" w:color="auto" w:fill="auto"/>
            <w:noWrap/>
            <w:vAlign w:val="bottom"/>
            <w:hideMark/>
          </w:tcPr>
          <w:p w:rsidR="00BD2E39" w:rsidRPr="00AD733A" w:rsidRDefault="00BD2E39" w:rsidP="00BD2E39">
            <w:pPr>
              <w:jc w:val="center"/>
            </w:pPr>
            <w:r w:rsidRPr="00AD733A">
              <w:t>0%</w:t>
            </w:r>
          </w:p>
        </w:tc>
        <w:tc>
          <w:tcPr>
            <w:tcW w:w="789" w:type="dxa"/>
            <w:tcBorders>
              <w:top w:val="nil"/>
              <w:left w:val="single" w:sz="8" w:space="0" w:color="auto"/>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0%</w:t>
            </w:r>
          </w:p>
        </w:tc>
        <w:tc>
          <w:tcPr>
            <w:tcW w:w="1123" w:type="dxa"/>
            <w:tcBorders>
              <w:top w:val="nil"/>
              <w:left w:val="nil"/>
              <w:bottom w:val="single" w:sz="8" w:space="0" w:color="auto"/>
              <w:right w:val="single" w:sz="8" w:space="0" w:color="auto"/>
            </w:tcBorders>
            <w:shd w:val="clear" w:color="auto" w:fill="auto"/>
            <w:noWrap/>
            <w:vAlign w:val="bottom"/>
            <w:hideMark/>
          </w:tcPr>
          <w:p w:rsidR="00BD2E39" w:rsidRPr="00AD733A" w:rsidRDefault="00BD2E39" w:rsidP="00BD2E39">
            <w:pPr>
              <w:jc w:val="center"/>
            </w:pPr>
            <w:r w:rsidRPr="00AD733A">
              <w:t>100%</w:t>
            </w:r>
          </w:p>
        </w:tc>
      </w:tr>
    </w:tbl>
    <w:p w:rsidR="00391550" w:rsidRPr="00AD733A" w:rsidRDefault="00391550" w:rsidP="009B5067">
      <w:pPr>
        <w:rPr>
          <w:b/>
        </w:rPr>
      </w:pPr>
    </w:p>
    <w:p w:rsidR="00BD2E39" w:rsidRDefault="00BD2E39" w:rsidP="009B5067"/>
    <w:p w:rsidR="00605D3A" w:rsidRPr="00AD733A" w:rsidRDefault="000228AE" w:rsidP="009B5067">
      <w:r w:rsidRPr="00AD733A">
        <w:t>Percentage number</w:t>
      </w:r>
      <w:r w:rsidR="006F3372" w:rsidRPr="00AD733A">
        <w:t xml:space="preserve"> </w:t>
      </w:r>
      <w:r w:rsidR="00567DCB" w:rsidRPr="00AD733A">
        <w:t xml:space="preserve">increases were noted in scoring of excellent, up from </w:t>
      </w:r>
      <w:r w:rsidR="00904552" w:rsidRPr="00AD733A">
        <w:t xml:space="preserve">FY14 </w:t>
      </w:r>
      <w:r w:rsidR="00567DCB" w:rsidRPr="00AD733A">
        <w:t xml:space="preserve">40% DS and 49% BH.  </w:t>
      </w:r>
      <w:r w:rsidR="006F3372" w:rsidRPr="00AD733A">
        <w:t xml:space="preserve"> Survey monkey was utilized for data collection and will be ag</w:t>
      </w:r>
      <w:r w:rsidR="007B00DD" w:rsidRPr="00AD733A">
        <w:t>ain for FY1</w:t>
      </w:r>
      <w:r w:rsidR="00567DCB" w:rsidRPr="00AD733A">
        <w:t>6</w:t>
      </w:r>
      <w:r w:rsidR="007B00DD" w:rsidRPr="00AD733A">
        <w:t xml:space="preserve">.  </w:t>
      </w:r>
      <w:r w:rsidR="00E65325" w:rsidRPr="00AD733A">
        <w:t xml:space="preserve">Overall score received above average was at 97%.  The 16% average return rate of FY15 is close to FY14 19%. </w:t>
      </w:r>
      <w:r w:rsidR="007B00DD" w:rsidRPr="00AD733A">
        <w:t xml:space="preserve">The comments </w:t>
      </w:r>
      <w:r w:rsidR="00DF3A02" w:rsidRPr="00AD733A">
        <w:t xml:space="preserve">given </w:t>
      </w:r>
      <w:r w:rsidR="00567DCB" w:rsidRPr="00AD733A">
        <w:t>provide a reflective</w:t>
      </w:r>
      <w:r w:rsidR="007B00DD" w:rsidRPr="00AD733A">
        <w:t xml:space="preserve"> picture of </w:t>
      </w:r>
      <w:r w:rsidR="00D71417" w:rsidRPr="00AD733A">
        <w:t>FCCI</w:t>
      </w:r>
      <w:r w:rsidR="007B00DD" w:rsidRPr="00AD733A">
        <w:t xml:space="preserve"> </w:t>
      </w:r>
      <w:r w:rsidR="006F3372" w:rsidRPr="00AD733A">
        <w:t>strengths and areas of grow</w:t>
      </w:r>
      <w:r w:rsidR="00567DCB" w:rsidRPr="00AD733A">
        <w:t xml:space="preserve"> better</w:t>
      </w:r>
      <w:r w:rsidR="006F3372" w:rsidRPr="00AD733A">
        <w:t xml:space="preserve"> than </w:t>
      </w:r>
      <w:r w:rsidR="00DF3A02" w:rsidRPr="00AD733A">
        <w:t xml:space="preserve">calculated </w:t>
      </w:r>
      <w:r w:rsidR="006F3372" w:rsidRPr="00AD733A">
        <w:t>percentage numbers.</w:t>
      </w:r>
    </w:p>
    <w:p w:rsidR="00CB2311" w:rsidRPr="00AD733A" w:rsidRDefault="00CB2311" w:rsidP="009B5067"/>
    <w:p w:rsidR="006F3372" w:rsidRPr="00AD733A" w:rsidRDefault="004271F4" w:rsidP="009B5067">
      <w:r w:rsidRPr="00AD733A">
        <w:t xml:space="preserve">What </w:t>
      </w:r>
      <w:r w:rsidR="00D71417" w:rsidRPr="00AD733A">
        <w:t>FCCI</w:t>
      </w:r>
      <w:r w:rsidR="00CB2311" w:rsidRPr="00AD733A">
        <w:t xml:space="preserve"> could improve on</w:t>
      </w:r>
      <w:r w:rsidR="00CE4C45" w:rsidRPr="00AD733A">
        <w:t xml:space="preserve"> is</w:t>
      </w:r>
      <w:r w:rsidR="00CB2311" w:rsidRPr="00AD733A">
        <w:t>:</w:t>
      </w:r>
    </w:p>
    <w:p w:rsidR="00567DCB" w:rsidRPr="00AD733A" w:rsidRDefault="004271F4" w:rsidP="00567DCB">
      <w:pPr>
        <w:pStyle w:val="ListParagraph"/>
        <w:numPr>
          <w:ilvl w:val="0"/>
          <w:numId w:val="22"/>
        </w:numPr>
      </w:pPr>
      <w:r w:rsidRPr="00AD733A">
        <w:t>Networking with the teacher on the educational component of the student’s needs</w:t>
      </w:r>
    </w:p>
    <w:p w:rsidR="004271F4" w:rsidRPr="00AD733A" w:rsidRDefault="004271F4" w:rsidP="00567DCB">
      <w:pPr>
        <w:pStyle w:val="ListParagraph"/>
        <w:numPr>
          <w:ilvl w:val="0"/>
          <w:numId w:val="22"/>
        </w:numPr>
      </w:pPr>
      <w:r w:rsidRPr="00AD733A">
        <w:t>More available time to provide services</w:t>
      </w:r>
    </w:p>
    <w:p w:rsidR="004271F4" w:rsidRPr="00AD733A" w:rsidRDefault="004271F4" w:rsidP="00567DCB">
      <w:pPr>
        <w:pStyle w:val="ListParagraph"/>
        <w:numPr>
          <w:ilvl w:val="0"/>
          <w:numId w:val="22"/>
        </w:numPr>
      </w:pPr>
      <w:r w:rsidRPr="00AD733A">
        <w:t xml:space="preserve">Would love to work on obtaining grant funds in partnership with </w:t>
      </w:r>
      <w:r w:rsidR="00D71417" w:rsidRPr="00AD733A">
        <w:t>FCCI</w:t>
      </w:r>
    </w:p>
    <w:p w:rsidR="004271F4" w:rsidRPr="00AD733A" w:rsidRDefault="004271F4" w:rsidP="00CB7C04">
      <w:pPr>
        <w:pStyle w:val="ListParagraph"/>
      </w:pPr>
    </w:p>
    <w:p w:rsidR="00BD2E39" w:rsidRDefault="00BD2E39" w:rsidP="009B5067"/>
    <w:p w:rsidR="006F3372" w:rsidRPr="00AD733A" w:rsidRDefault="004271F4" w:rsidP="009B5067">
      <w:r w:rsidRPr="00AD733A">
        <w:lastRenderedPageBreak/>
        <w:t xml:space="preserve">What </w:t>
      </w:r>
      <w:r w:rsidR="00D71417" w:rsidRPr="00AD733A">
        <w:t>FCCI</w:t>
      </w:r>
      <w:r w:rsidR="006F3372" w:rsidRPr="00AD733A">
        <w:t xml:space="preserve"> do</w:t>
      </w:r>
      <w:r w:rsidRPr="00AD733A">
        <w:t>es</w:t>
      </w:r>
      <w:r w:rsidR="006F3372" w:rsidRPr="00AD733A">
        <w:t xml:space="preserve"> well</w:t>
      </w:r>
      <w:r w:rsidR="00CE4C45" w:rsidRPr="00AD733A">
        <w:t xml:space="preserve"> is</w:t>
      </w:r>
      <w:r w:rsidR="006F3372" w:rsidRPr="00AD733A">
        <w:t>:</w:t>
      </w:r>
    </w:p>
    <w:p w:rsidR="004271F4" w:rsidRPr="00AD733A" w:rsidRDefault="004271F4" w:rsidP="004271F4">
      <w:pPr>
        <w:pStyle w:val="ListParagraph"/>
        <w:numPr>
          <w:ilvl w:val="0"/>
          <w:numId w:val="24"/>
        </w:numPr>
        <w:rPr>
          <w:b/>
          <w:i/>
        </w:rPr>
      </w:pPr>
      <w:r w:rsidRPr="00AD733A">
        <w:t>Handle situations in</w:t>
      </w:r>
      <w:r w:rsidR="00CB7C04" w:rsidRPr="00AD733A">
        <w:t xml:space="preserve"> a timely manner</w:t>
      </w:r>
    </w:p>
    <w:p w:rsidR="004271F4" w:rsidRPr="00AD733A" w:rsidRDefault="004271F4" w:rsidP="004271F4">
      <w:pPr>
        <w:pStyle w:val="ListParagraph"/>
        <w:numPr>
          <w:ilvl w:val="0"/>
          <w:numId w:val="24"/>
        </w:numPr>
        <w:rPr>
          <w:b/>
          <w:i/>
        </w:rPr>
      </w:pPr>
      <w:r w:rsidRPr="00AD733A">
        <w:t>Great follow through for families</w:t>
      </w:r>
    </w:p>
    <w:p w:rsidR="004271F4" w:rsidRPr="00AD733A" w:rsidRDefault="004271F4" w:rsidP="004271F4">
      <w:pPr>
        <w:pStyle w:val="ListParagraph"/>
        <w:numPr>
          <w:ilvl w:val="0"/>
          <w:numId w:val="24"/>
        </w:numPr>
        <w:rPr>
          <w:b/>
          <w:i/>
        </w:rPr>
      </w:pPr>
      <w:r w:rsidRPr="00AD733A">
        <w:t>Great staff that is always willing to help</w:t>
      </w:r>
    </w:p>
    <w:p w:rsidR="004271F4" w:rsidRPr="00AD733A" w:rsidRDefault="004271F4" w:rsidP="004271F4">
      <w:pPr>
        <w:pStyle w:val="ListParagraph"/>
        <w:numPr>
          <w:ilvl w:val="0"/>
          <w:numId w:val="24"/>
        </w:numPr>
        <w:rPr>
          <w:b/>
          <w:i/>
        </w:rPr>
      </w:pPr>
      <w:r w:rsidRPr="00AD733A">
        <w:t>Serves students / school in addressing their needs</w:t>
      </w:r>
    </w:p>
    <w:p w:rsidR="004271F4" w:rsidRPr="00AD733A" w:rsidRDefault="004271F4" w:rsidP="004271F4">
      <w:pPr>
        <w:pStyle w:val="ListParagraph"/>
        <w:numPr>
          <w:ilvl w:val="0"/>
          <w:numId w:val="24"/>
        </w:numPr>
        <w:rPr>
          <w:b/>
          <w:i/>
        </w:rPr>
      </w:pPr>
      <w:r w:rsidRPr="00AD733A">
        <w:t>Compassionate toward clients</w:t>
      </w:r>
    </w:p>
    <w:p w:rsidR="004271F4" w:rsidRPr="00AD733A" w:rsidRDefault="004271F4" w:rsidP="004271F4">
      <w:pPr>
        <w:pStyle w:val="ListParagraph"/>
        <w:numPr>
          <w:ilvl w:val="0"/>
          <w:numId w:val="24"/>
        </w:numPr>
        <w:rPr>
          <w:b/>
          <w:i/>
        </w:rPr>
      </w:pPr>
      <w:r w:rsidRPr="00AD733A">
        <w:t>Communicates clearly and is ready to do their part</w:t>
      </w:r>
    </w:p>
    <w:p w:rsidR="006213F7" w:rsidRPr="00AD733A" w:rsidRDefault="004271F4" w:rsidP="006213F7">
      <w:pPr>
        <w:pStyle w:val="ListParagraph"/>
        <w:numPr>
          <w:ilvl w:val="0"/>
          <w:numId w:val="24"/>
        </w:numPr>
        <w:rPr>
          <w:b/>
          <w:i/>
        </w:rPr>
      </w:pPr>
      <w:r w:rsidRPr="00AD733A">
        <w:t>Works well with school officials, parents and students to s</w:t>
      </w:r>
      <w:r w:rsidR="006213F7" w:rsidRPr="00AD733A">
        <w:t>chedule session in the district</w:t>
      </w:r>
    </w:p>
    <w:p w:rsidR="006213F7" w:rsidRPr="00AD733A" w:rsidRDefault="006213F7" w:rsidP="006213F7">
      <w:pPr>
        <w:ind w:left="360"/>
      </w:pPr>
    </w:p>
    <w:p w:rsidR="006213F7" w:rsidRPr="00AD733A" w:rsidRDefault="006213F7" w:rsidP="006213F7">
      <w:pPr>
        <w:rPr>
          <w:b/>
          <w:i/>
        </w:rPr>
      </w:pPr>
      <w:r w:rsidRPr="00AD733A">
        <w:t>All suggestions / comments are forwarded to Assistant Division Directors for review and analysis of systems to improve outcomes services.</w:t>
      </w:r>
    </w:p>
    <w:p w:rsidR="004271F4" w:rsidRPr="00AD733A" w:rsidRDefault="004271F4" w:rsidP="009B5067">
      <w:pPr>
        <w:rPr>
          <w:b/>
          <w:i/>
        </w:rPr>
      </w:pPr>
    </w:p>
    <w:p w:rsidR="00AB5E5B" w:rsidRPr="00AD733A" w:rsidRDefault="00AB5E5B" w:rsidP="00AB5E5B">
      <w:r w:rsidRPr="00AD733A">
        <w:rPr>
          <w:b/>
          <w:i/>
        </w:rPr>
        <w:t>Discharge data</w:t>
      </w:r>
      <w:r w:rsidRPr="00AD733A">
        <w:t xml:space="preserve"> </w:t>
      </w:r>
      <w:r w:rsidR="00260287" w:rsidRPr="00AD733A">
        <w:t xml:space="preserve">(outcome evaluation of provided services) </w:t>
      </w:r>
      <w:r w:rsidRPr="00AD733A">
        <w:t xml:space="preserve">is sought after a client’s service </w:t>
      </w:r>
      <w:r w:rsidR="00F8050C" w:rsidRPr="00AD733A">
        <w:t>with the agency closes.  In FY15</w:t>
      </w:r>
      <w:r w:rsidRPr="00AD733A">
        <w:t xml:space="preserve">, paper surveys </w:t>
      </w:r>
      <w:r w:rsidR="00CB7C04" w:rsidRPr="00AD733A">
        <w:t>we</w:t>
      </w:r>
      <w:r w:rsidRPr="00AD733A">
        <w:t>re mailed out</w:t>
      </w:r>
      <w:r w:rsidR="00F8050C" w:rsidRPr="00AD733A">
        <w:t xml:space="preserve"> except for June 2015 when a telephone follow-up call was implemented.</w:t>
      </w:r>
      <w:r w:rsidRPr="00AD733A">
        <w:t xml:space="preserve">  </w:t>
      </w:r>
      <w:r w:rsidR="008F6E41" w:rsidRPr="00AD733A">
        <w:t xml:space="preserve">20 phone contacts were made for follow-up on services.  </w:t>
      </w:r>
      <w:r w:rsidR="00F8050C" w:rsidRPr="00AD733A">
        <w:t>There is not enough data to determine if this is a productive manner to collect</w:t>
      </w:r>
      <w:r w:rsidR="00904552" w:rsidRPr="00AD733A">
        <w:t xml:space="preserve"> discharge</w:t>
      </w:r>
      <w:r w:rsidR="00F8050C" w:rsidRPr="00AD733A">
        <w:t xml:space="preserve"> data.  Recommendation is to continue the pilot program into FY16. </w:t>
      </w:r>
    </w:p>
    <w:p w:rsidR="00F8050C" w:rsidRPr="00AD733A" w:rsidRDefault="00F8050C" w:rsidP="00AB5E5B"/>
    <w:p w:rsidR="00977474" w:rsidRPr="00AD733A" w:rsidRDefault="00AB5E5B" w:rsidP="00AB5E5B">
      <w:r w:rsidRPr="00AD733A">
        <w:t xml:space="preserve">Reasons for discharge </w:t>
      </w:r>
      <w:r w:rsidR="00260287" w:rsidRPr="00AD733A">
        <w:t xml:space="preserve">provided </w:t>
      </w:r>
      <w:r w:rsidR="00977474" w:rsidRPr="00AD733A">
        <w:t>in the clinical discharge summary was reviewed and noted to be the highest</w:t>
      </w:r>
      <w:r w:rsidRPr="00AD733A">
        <w:t xml:space="preserve"> number</w:t>
      </w:r>
      <w:r w:rsidR="00977474" w:rsidRPr="00AD733A">
        <w:t xml:space="preserve"> 292 of 675 discharges or 44% was</w:t>
      </w:r>
      <w:r w:rsidRPr="00AD733A">
        <w:t xml:space="preserve"> “other</w:t>
      </w:r>
      <w:r w:rsidR="00977474" w:rsidRPr="00AD733A">
        <w:t xml:space="preserve"> &amp; unknown</w:t>
      </w:r>
      <w:r w:rsidRPr="00AD733A">
        <w:t xml:space="preserve">” category.  </w:t>
      </w:r>
      <w:r w:rsidR="00081F5B" w:rsidRPr="00AD733A">
        <w:t>As “other”</w:t>
      </w:r>
      <w:r w:rsidR="00977474" w:rsidRPr="00AD733A">
        <w:t xml:space="preserve"> does not provide a good indicator of outcomes, it is recommen</w:t>
      </w:r>
      <w:r w:rsidR="00081F5B" w:rsidRPr="00AD733A">
        <w:t xml:space="preserve">ded that when switching to </w:t>
      </w:r>
      <w:r w:rsidR="00977474" w:rsidRPr="00AD733A">
        <w:t>E</w:t>
      </w:r>
      <w:r w:rsidR="00081F5B" w:rsidRPr="00AD733A">
        <w:t>H</w:t>
      </w:r>
      <w:r w:rsidR="00977474" w:rsidRPr="00AD733A">
        <w:t xml:space="preserve">R (electronic health record) that the reasons for discharge be reviewed to see if </w:t>
      </w:r>
      <w:r w:rsidR="00081F5B" w:rsidRPr="00AD733A">
        <w:t>“</w:t>
      </w:r>
      <w:r w:rsidR="00977474" w:rsidRPr="00AD733A">
        <w:t>other</w:t>
      </w:r>
      <w:r w:rsidR="00081F5B" w:rsidRPr="00AD733A">
        <w:t>”</w:t>
      </w:r>
      <w:r w:rsidR="00977474" w:rsidRPr="00AD733A">
        <w:t xml:space="preserve"> is a</w:t>
      </w:r>
      <w:r w:rsidR="00081F5B" w:rsidRPr="00AD733A">
        <w:t>n</w:t>
      </w:r>
      <w:r w:rsidR="00977474" w:rsidRPr="00AD733A">
        <w:t xml:space="preserve"> option. </w:t>
      </w:r>
      <w:r w:rsidR="00081F5B" w:rsidRPr="00AD733A">
        <w:t>If so provided, a clinical training on selection of discharge reason shoul</w:t>
      </w:r>
      <w:r w:rsidR="001F36F0" w:rsidRPr="00AD733A">
        <w:t>d be provided in BH programs.  D</w:t>
      </w:r>
      <w:r w:rsidR="002534BC" w:rsidRPr="00AD733A">
        <w:t>ischarge d</w:t>
      </w:r>
      <w:r w:rsidR="001F36F0" w:rsidRPr="00AD733A">
        <w:t>ata showed that percentage of BH clients that c</w:t>
      </w:r>
      <w:r w:rsidR="00977474" w:rsidRPr="00AD733A">
        <w:t>ompleted treatment was 16% and</w:t>
      </w:r>
      <w:r w:rsidR="00904552" w:rsidRPr="00AD733A">
        <w:t xml:space="preserve"> refusal of treatment was at 25</w:t>
      </w:r>
      <w:r w:rsidR="00977474" w:rsidRPr="00AD733A">
        <w:t>%</w:t>
      </w:r>
      <w:r w:rsidR="00081F5B" w:rsidRPr="00AD733A">
        <w:t xml:space="preserve">.  </w:t>
      </w:r>
    </w:p>
    <w:p w:rsidR="006213F7" w:rsidRPr="00AD733A" w:rsidRDefault="006213F7" w:rsidP="006213F7">
      <w:pPr>
        <w:rPr>
          <w:b/>
          <w:i/>
        </w:rPr>
      </w:pPr>
    </w:p>
    <w:p w:rsidR="006213F7" w:rsidRPr="00AD733A" w:rsidRDefault="006213F7" w:rsidP="006213F7">
      <w:r w:rsidRPr="00AD733A">
        <w:rPr>
          <w:b/>
          <w:i/>
        </w:rPr>
        <w:t>Medication Effectiveness</w:t>
      </w:r>
      <w:r w:rsidRPr="00AD733A">
        <w:t xml:space="preserve"> is determined by the client sharing how he/she perceives that the prescribed medication is doing in helping them control their mental illness symptoms. </w:t>
      </w:r>
    </w:p>
    <w:p w:rsidR="006213F7" w:rsidRPr="00AD733A" w:rsidRDefault="006213F7" w:rsidP="006213F7"/>
    <w:p w:rsidR="006213F7" w:rsidRPr="00AD733A" w:rsidRDefault="006213F7" w:rsidP="006213F7">
      <w:r w:rsidRPr="00AD733A">
        <w:t xml:space="preserve">Scale </w:t>
      </w:r>
      <w:r w:rsidRPr="00AD733A">
        <w:tab/>
      </w:r>
      <w:r w:rsidRPr="00AD733A">
        <w:tab/>
        <w:t xml:space="preserve">              1 not effective                      5                            highly effective 10   </w:t>
      </w:r>
    </w:p>
    <w:tbl>
      <w:tblPr>
        <w:tblW w:w="9718" w:type="dxa"/>
        <w:tblInd w:w="93" w:type="dxa"/>
        <w:tblLook w:val="04A0"/>
      </w:tblPr>
      <w:tblGrid>
        <w:gridCol w:w="2101"/>
        <w:gridCol w:w="561"/>
        <w:gridCol w:w="694"/>
        <w:gridCol w:w="694"/>
        <w:gridCol w:w="694"/>
        <w:gridCol w:w="694"/>
        <w:gridCol w:w="694"/>
        <w:gridCol w:w="694"/>
        <w:gridCol w:w="694"/>
        <w:gridCol w:w="694"/>
        <w:gridCol w:w="694"/>
        <w:gridCol w:w="1003"/>
      </w:tblGrid>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b/>
                <w:bCs/>
                <w:color w:val="000000"/>
              </w:rPr>
            </w:pPr>
            <w:r w:rsidRPr="00AD733A">
              <w:rPr>
                <w:b/>
                <w:bCs/>
                <w:color w:val="000000"/>
                <w:sz w:val="22"/>
                <w:szCs w:val="22"/>
              </w:rPr>
              <w:t xml:space="preserve">FY15 TOTAL Clients Reporting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17</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46</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80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145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311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39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1324BB">
            <w:pPr>
              <w:jc w:val="center"/>
              <w:rPr>
                <w:b/>
                <w:bCs/>
                <w:color w:val="000000"/>
              </w:rPr>
            </w:pPr>
            <w:r w:rsidRPr="00AD733A">
              <w:rPr>
                <w:b/>
                <w:bCs/>
                <w:color w:val="000000"/>
                <w:sz w:val="22"/>
                <w:szCs w:val="22"/>
              </w:rPr>
              <w:t xml:space="preserve">642 </w:t>
            </w:r>
          </w:p>
        </w:tc>
      </w:tr>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color w:val="000000"/>
              </w:rPr>
            </w:pPr>
            <w:r w:rsidRPr="00AD733A">
              <w:rPr>
                <w:color w:val="000000"/>
                <w:sz w:val="22"/>
                <w:szCs w:val="22"/>
              </w:rPr>
              <w:t>Satisfaction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3</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7</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23</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48</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1324BB" w:rsidP="00E86A21">
            <w:pPr>
              <w:jc w:val="center"/>
              <w:rPr>
                <w:color w:val="000000"/>
              </w:rPr>
            </w:pPr>
            <w:r>
              <w:rPr>
                <w:color w:val="000000"/>
              </w:rPr>
              <w:t>TOTAL</w:t>
            </w:r>
          </w:p>
        </w:tc>
      </w:tr>
    </w:tbl>
    <w:p w:rsidR="006213F7" w:rsidRPr="00AD733A" w:rsidRDefault="006213F7" w:rsidP="006213F7"/>
    <w:p w:rsidR="006213F7" w:rsidRPr="00AD733A" w:rsidRDefault="006213F7" w:rsidP="006213F7">
      <w:r w:rsidRPr="00AD733A">
        <w:t xml:space="preserve">Scale </w:t>
      </w:r>
      <w:r w:rsidRPr="00AD733A">
        <w:tab/>
      </w:r>
      <w:r w:rsidRPr="00AD733A">
        <w:tab/>
        <w:t xml:space="preserve">              1 not effective                      5                            highly effective 10   </w:t>
      </w:r>
    </w:p>
    <w:tbl>
      <w:tblPr>
        <w:tblW w:w="9718" w:type="dxa"/>
        <w:tblInd w:w="93" w:type="dxa"/>
        <w:tblLook w:val="04A0"/>
      </w:tblPr>
      <w:tblGrid>
        <w:gridCol w:w="2101"/>
        <w:gridCol w:w="561"/>
        <w:gridCol w:w="694"/>
        <w:gridCol w:w="694"/>
        <w:gridCol w:w="694"/>
        <w:gridCol w:w="694"/>
        <w:gridCol w:w="694"/>
        <w:gridCol w:w="694"/>
        <w:gridCol w:w="694"/>
        <w:gridCol w:w="694"/>
        <w:gridCol w:w="694"/>
        <w:gridCol w:w="1003"/>
      </w:tblGrid>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b/>
                <w:bCs/>
                <w:color w:val="000000"/>
              </w:rPr>
            </w:pPr>
            <w:r w:rsidRPr="00AD733A">
              <w:rPr>
                <w:b/>
                <w:bCs/>
                <w:color w:val="000000"/>
                <w:sz w:val="22"/>
                <w:szCs w:val="22"/>
              </w:rPr>
              <w:t xml:space="preserve">FY14 TOTAL Clients Reporting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32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62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151</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288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50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1324BB">
            <w:pPr>
              <w:jc w:val="center"/>
              <w:rPr>
                <w:b/>
                <w:bCs/>
                <w:color w:val="000000"/>
              </w:rPr>
            </w:pPr>
            <w:r w:rsidRPr="00AD733A">
              <w:rPr>
                <w:b/>
                <w:bCs/>
                <w:color w:val="000000"/>
                <w:sz w:val="22"/>
                <w:szCs w:val="22"/>
              </w:rPr>
              <w:t xml:space="preserve">596 </w:t>
            </w:r>
          </w:p>
        </w:tc>
      </w:tr>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color w:val="000000"/>
              </w:rPr>
            </w:pPr>
            <w:r w:rsidRPr="00AD733A">
              <w:rPr>
                <w:color w:val="000000"/>
                <w:sz w:val="22"/>
                <w:szCs w:val="22"/>
              </w:rPr>
              <w:t>Satisfaction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5</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w:t>
            </w:r>
            <w:r w:rsidR="001324BB">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25</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48</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1324BB" w:rsidP="00E86A21">
            <w:pPr>
              <w:jc w:val="center"/>
              <w:rPr>
                <w:color w:val="000000"/>
              </w:rPr>
            </w:pPr>
            <w:r>
              <w:rPr>
                <w:color w:val="000000"/>
              </w:rPr>
              <w:t>TOTAL</w:t>
            </w:r>
          </w:p>
        </w:tc>
      </w:tr>
    </w:tbl>
    <w:p w:rsidR="006213F7" w:rsidRPr="00AD733A" w:rsidRDefault="006213F7" w:rsidP="006213F7">
      <w:r w:rsidRPr="00AD733A">
        <w:t xml:space="preserve">      </w:t>
      </w:r>
    </w:p>
    <w:p w:rsidR="006213F7" w:rsidRPr="00AD733A" w:rsidRDefault="006213F7" w:rsidP="006213F7">
      <w:r w:rsidRPr="00AD733A">
        <w:t xml:space="preserve">Scale </w:t>
      </w:r>
      <w:r w:rsidRPr="00AD733A">
        <w:tab/>
      </w:r>
      <w:r w:rsidRPr="00AD733A">
        <w:tab/>
        <w:t xml:space="preserve">              1 not effective                      5                            highly effective 10   </w:t>
      </w:r>
    </w:p>
    <w:tbl>
      <w:tblPr>
        <w:tblW w:w="9718" w:type="dxa"/>
        <w:tblInd w:w="93" w:type="dxa"/>
        <w:tblLook w:val="04A0"/>
      </w:tblPr>
      <w:tblGrid>
        <w:gridCol w:w="2101"/>
        <w:gridCol w:w="561"/>
        <w:gridCol w:w="694"/>
        <w:gridCol w:w="694"/>
        <w:gridCol w:w="694"/>
        <w:gridCol w:w="694"/>
        <w:gridCol w:w="694"/>
        <w:gridCol w:w="694"/>
        <w:gridCol w:w="694"/>
        <w:gridCol w:w="694"/>
        <w:gridCol w:w="694"/>
        <w:gridCol w:w="1003"/>
      </w:tblGrid>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b/>
                <w:bCs/>
                <w:color w:val="000000"/>
              </w:rPr>
            </w:pPr>
            <w:r w:rsidRPr="00AD733A">
              <w:rPr>
                <w:b/>
                <w:bCs/>
                <w:color w:val="000000"/>
                <w:sz w:val="22"/>
                <w:szCs w:val="22"/>
              </w:rPr>
              <w:t xml:space="preserve">FY13 TOTAL Clients Reporting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6</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22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52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118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254</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E86A21">
            <w:pPr>
              <w:jc w:val="center"/>
              <w:rPr>
                <w:b/>
                <w:bCs/>
                <w:color w:val="000000"/>
              </w:rPr>
            </w:pPr>
            <w:r w:rsidRPr="00AD733A">
              <w:rPr>
                <w:b/>
                <w:bCs/>
                <w:color w:val="000000"/>
                <w:sz w:val="22"/>
                <w:szCs w:val="22"/>
              </w:rPr>
              <w:t>70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213F7" w:rsidRPr="00AD733A" w:rsidRDefault="006213F7" w:rsidP="001324BB">
            <w:pPr>
              <w:jc w:val="center"/>
              <w:rPr>
                <w:b/>
                <w:bCs/>
                <w:color w:val="000000"/>
              </w:rPr>
            </w:pPr>
            <w:r w:rsidRPr="00AD733A">
              <w:rPr>
                <w:b/>
                <w:bCs/>
                <w:color w:val="000000"/>
                <w:sz w:val="22"/>
                <w:szCs w:val="22"/>
              </w:rPr>
              <w:t>524</w:t>
            </w:r>
          </w:p>
        </w:tc>
      </w:tr>
      <w:tr w:rsidR="006213F7" w:rsidRPr="00AD733A" w:rsidTr="001324BB">
        <w:trPr>
          <w:trHeight w:val="273"/>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E86A21">
            <w:pPr>
              <w:rPr>
                <w:color w:val="000000"/>
              </w:rPr>
            </w:pPr>
            <w:r w:rsidRPr="00AD733A">
              <w:rPr>
                <w:color w:val="000000"/>
                <w:sz w:val="22"/>
                <w:szCs w:val="22"/>
              </w:rPr>
              <w:t>Satisfaction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5</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w:t>
            </w:r>
            <w:r w:rsidR="001324BB">
              <w:rPr>
                <w:color w:val="000000"/>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23</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49</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6213F7" w:rsidP="001324BB">
            <w:pPr>
              <w:jc w:val="center"/>
              <w:rPr>
                <w:color w:val="000000"/>
              </w:rPr>
            </w:pPr>
            <w:r w:rsidRPr="00AD733A">
              <w:rPr>
                <w:color w:val="000000"/>
                <w:sz w:val="22"/>
                <w:szCs w:val="22"/>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3F7" w:rsidRPr="00AD733A" w:rsidRDefault="001324BB" w:rsidP="00E86A21">
            <w:pPr>
              <w:jc w:val="center"/>
              <w:rPr>
                <w:color w:val="000000"/>
              </w:rPr>
            </w:pPr>
            <w:r>
              <w:rPr>
                <w:color w:val="000000"/>
              </w:rPr>
              <w:t>TOTAL</w:t>
            </w:r>
          </w:p>
        </w:tc>
      </w:tr>
    </w:tbl>
    <w:p w:rsidR="006213F7" w:rsidRPr="00AD733A" w:rsidRDefault="006213F7" w:rsidP="006213F7"/>
    <w:p w:rsidR="006213F7" w:rsidRPr="00AD733A" w:rsidRDefault="006213F7" w:rsidP="006213F7">
      <w:r w:rsidRPr="00AD733A">
        <w:t>Noted is a steady growth in client numbers seen by Dr. Parks for psychotropic medication. It is a noted trend that the scores 8 and 9 of medication being effective is the highest percentages for the previous three years.</w:t>
      </w:r>
    </w:p>
    <w:p w:rsidR="00977474" w:rsidRPr="00AD733A" w:rsidRDefault="00977474" w:rsidP="00AB5E5B"/>
    <w:p w:rsidR="005878E4" w:rsidRPr="00AD733A" w:rsidRDefault="004A617D" w:rsidP="000752FA">
      <w:pPr>
        <w:pStyle w:val="ListParagraph"/>
        <w:numPr>
          <w:ilvl w:val="0"/>
          <w:numId w:val="5"/>
        </w:numPr>
        <w:rPr>
          <w:b/>
          <w:u w:val="single"/>
        </w:rPr>
      </w:pPr>
      <w:r w:rsidRPr="00AD733A">
        <w:rPr>
          <w:b/>
          <w:u w:val="single"/>
        </w:rPr>
        <w:lastRenderedPageBreak/>
        <w:t>FY16</w:t>
      </w:r>
      <w:r w:rsidR="006068E1" w:rsidRPr="00AD733A">
        <w:rPr>
          <w:b/>
          <w:u w:val="single"/>
        </w:rPr>
        <w:t xml:space="preserve"> TARGETS</w:t>
      </w:r>
      <w:r w:rsidR="005878E4" w:rsidRPr="00AD733A">
        <w:rPr>
          <w:b/>
          <w:u w:val="single"/>
        </w:rPr>
        <w:t xml:space="preserve"> </w:t>
      </w:r>
    </w:p>
    <w:p w:rsidR="00D40FBE" w:rsidRPr="00AD733A" w:rsidRDefault="00D40FBE" w:rsidP="00D40FBE">
      <w:pPr>
        <w:pStyle w:val="ListParagraph"/>
        <w:ind w:left="360"/>
        <w:rPr>
          <w:b/>
          <w:u w:val="single"/>
        </w:rPr>
      </w:pPr>
    </w:p>
    <w:p w:rsidR="00D40FBE" w:rsidRPr="00AD733A" w:rsidRDefault="00D40FBE" w:rsidP="00D40FBE">
      <w:r w:rsidRPr="00AD733A">
        <w:t>In analysis of the provided data, the following performance indicators are established for FY1</w:t>
      </w:r>
      <w:r w:rsidR="001F36F0" w:rsidRPr="00AD733A">
        <w:t>6</w:t>
      </w:r>
      <w:r w:rsidRPr="00AD733A">
        <w:t>.</w:t>
      </w:r>
    </w:p>
    <w:p w:rsidR="00672535" w:rsidRPr="00AD733A" w:rsidRDefault="00672535" w:rsidP="009B5067"/>
    <w:p w:rsidR="005878E4" w:rsidRPr="00AD733A" w:rsidRDefault="005878E4" w:rsidP="009B5067">
      <w:pPr>
        <w:rPr>
          <w:b/>
        </w:rPr>
      </w:pPr>
      <w:r w:rsidRPr="00AD733A">
        <w:rPr>
          <w:b/>
        </w:rPr>
        <w:t>BEHAVIORAL HEALTH</w:t>
      </w:r>
    </w:p>
    <w:p w:rsidR="009329E5" w:rsidRPr="00AD733A" w:rsidRDefault="005878E4" w:rsidP="009329E5">
      <w:r w:rsidRPr="00AD733A">
        <w:t xml:space="preserve">Effectiveness Target </w:t>
      </w:r>
    </w:p>
    <w:p w:rsidR="001E6620" w:rsidRPr="00AD733A" w:rsidRDefault="005878E4" w:rsidP="001E6620">
      <w:pPr>
        <w:pStyle w:val="ListParagraph"/>
        <w:numPr>
          <w:ilvl w:val="0"/>
          <w:numId w:val="8"/>
        </w:numPr>
        <w:rPr>
          <w:i/>
        </w:rPr>
      </w:pPr>
      <w:proofErr w:type="gramStart"/>
      <w:r w:rsidRPr="00AD733A">
        <w:rPr>
          <w:i/>
        </w:rPr>
        <w:t>decrease</w:t>
      </w:r>
      <w:proofErr w:type="gramEnd"/>
      <w:r w:rsidRPr="00AD733A">
        <w:rPr>
          <w:i/>
        </w:rPr>
        <w:t xml:space="preserve"> documented “no show” rate</w:t>
      </w:r>
      <w:r w:rsidR="00501AFE" w:rsidRPr="00AD733A">
        <w:rPr>
          <w:i/>
        </w:rPr>
        <w:t xml:space="preserve"> by 2% </w:t>
      </w:r>
      <w:r w:rsidR="00F75441" w:rsidRPr="00AD733A">
        <w:rPr>
          <w:i/>
        </w:rPr>
        <w:t>per each of 4 BH program from</w:t>
      </w:r>
      <w:r w:rsidR="00F34801" w:rsidRPr="00AD733A">
        <w:rPr>
          <w:i/>
        </w:rPr>
        <w:t xml:space="preserve"> FY15 results of </w:t>
      </w:r>
      <w:r w:rsidR="001E6620" w:rsidRPr="00AD733A">
        <w:rPr>
          <w:i/>
        </w:rPr>
        <w:t>SA 209; MIOA 172; MIOY 241</w:t>
      </w:r>
      <w:r w:rsidR="00D21D5F">
        <w:rPr>
          <w:i/>
        </w:rPr>
        <w:t>;</w:t>
      </w:r>
      <w:r w:rsidR="001E6620" w:rsidRPr="00AD733A">
        <w:rPr>
          <w:i/>
        </w:rPr>
        <w:t xml:space="preserve"> and SASS </w:t>
      </w:r>
      <w:r w:rsidR="00F3749F" w:rsidRPr="00AD733A">
        <w:rPr>
          <w:i/>
        </w:rPr>
        <w:t>240.</w:t>
      </w:r>
    </w:p>
    <w:p w:rsidR="005878E4" w:rsidRPr="00AD733A" w:rsidRDefault="005878E4" w:rsidP="009329E5">
      <w:pPr>
        <w:pStyle w:val="ListParagraph"/>
        <w:numPr>
          <w:ilvl w:val="0"/>
          <w:numId w:val="8"/>
        </w:numPr>
        <w:rPr>
          <w:i/>
        </w:rPr>
      </w:pPr>
      <w:proofErr w:type="gramStart"/>
      <w:r w:rsidRPr="00AD733A">
        <w:rPr>
          <w:i/>
        </w:rPr>
        <w:t>increase</w:t>
      </w:r>
      <w:proofErr w:type="gramEnd"/>
      <w:r w:rsidRPr="00AD733A">
        <w:rPr>
          <w:i/>
        </w:rPr>
        <w:t xml:space="preserve"> met </w:t>
      </w:r>
      <w:r w:rsidR="00CB7C04" w:rsidRPr="00AD733A">
        <w:rPr>
          <w:i/>
        </w:rPr>
        <w:t xml:space="preserve">treatment plan </w:t>
      </w:r>
      <w:r w:rsidRPr="00AD733A">
        <w:rPr>
          <w:i/>
        </w:rPr>
        <w:t>objectives in residential CSR setting</w:t>
      </w:r>
      <w:r w:rsidR="00C20FA2" w:rsidRPr="00AD733A">
        <w:rPr>
          <w:i/>
        </w:rPr>
        <w:t xml:space="preserve"> from 12</w:t>
      </w:r>
      <w:r w:rsidR="00501AFE" w:rsidRPr="00AD733A">
        <w:rPr>
          <w:i/>
        </w:rPr>
        <w:t xml:space="preserve"> to 13</w:t>
      </w:r>
      <w:r w:rsidRPr="00AD733A">
        <w:rPr>
          <w:i/>
        </w:rPr>
        <w:t>.</w:t>
      </w:r>
    </w:p>
    <w:p w:rsidR="005878E4" w:rsidRPr="00AD733A" w:rsidRDefault="003D59A4" w:rsidP="00C11DF6">
      <w:pPr>
        <w:pStyle w:val="ListParagraph"/>
        <w:numPr>
          <w:ilvl w:val="0"/>
          <w:numId w:val="8"/>
        </w:numPr>
        <w:rPr>
          <w:i/>
        </w:rPr>
      </w:pPr>
      <w:r w:rsidRPr="00AD733A">
        <w:rPr>
          <w:i/>
        </w:rPr>
        <w:t xml:space="preserve">80% or higher of child / children </w:t>
      </w:r>
      <w:r w:rsidR="004A07FF" w:rsidRPr="00AD733A">
        <w:rPr>
          <w:i/>
        </w:rPr>
        <w:t>in foster</w:t>
      </w:r>
      <w:r w:rsidR="005878E4" w:rsidRPr="00AD733A">
        <w:rPr>
          <w:i/>
        </w:rPr>
        <w:t xml:space="preserve"> care placements </w:t>
      </w:r>
      <w:r w:rsidRPr="00AD733A">
        <w:rPr>
          <w:i/>
        </w:rPr>
        <w:t xml:space="preserve">will have a lower score of abbreviated </w:t>
      </w:r>
      <w:proofErr w:type="spellStart"/>
      <w:r w:rsidR="001111FE">
        <w:rPr>
          <w:i/>
        </w:rPr>
        <w:t>d</w:t>
      </w:r>
      <w:r w:rsidR="001111FE" w:rsidRPr="00AD733A">
        <w:rPr>
          <w:i/>
        </w:rPr>
        <w:t>ysregulation</w:t>
      </w:r>
      <w:proofErr w:type="spellEnd"/>
      <w:r w:rsidRPr="00AD733A">
        <w:rPr>
          <w:i/>
        </w:rPr>
        <w:t xml:space="preserve"> inventory at exit from entrance into the program. </w:t>
      </w:r>
    </w:p>
    <w:p w:rsidR="00C11DF6" w:rsidRPr="00AD733A" w:rsidRDefault="005878E4" w:rsidP="009B5067">
      <w:r w:rsidRPr="00AD733A">
        <w:t xml:space="preserve">Efficiency Target </w:t>
      </w:r>
    </w:p>
    <w:p w:rsidR="00C11DF6" w:rsidRPr="00AD733A" w:rsidRDefault="005878E4" w:rsidP="009B5067">
      <w:pPr>
        <w:pStyle w:val="ListParagraph"/>
        <w:numPr>
          <w:ilvl w:val="0"/>
          <w:numId w:val="14"/>
        </w:numPr>
        <w:rPr>
          <w:i/>
        </w:rPr>
      </w:pPr>
      <w:proofErr w:type="gramStart"/>
      <w:r w:rsidRPr="00AD733A">
        <w:rPr>
          <w:i/>
        </w:rPr>
        <w:t>decrease</w:t>
      </w:r>
      <w:proofErr w:type="gramEnd"/>
      <w:r w:rsidRPr="00AD733A">
        <w:rPr>
          <w:i/>
        </w:rPr>
        <w:t xml:space="preserve"> the time from referral to service to 3 day</w:t>
      </w:r>
      <w:r w:rsidR="00F3749F" w:rsidRPr="00AD733A">
        <w:rPr>
          <w:i/>
        </w:rPr>
        <w:t xml:space="preserve"> average</w:t>
      </w:r>
      <w:r w:rsidRPr="00AD733A">
        <w:rPr>
          <w:i/>
        </w:rPr>
        <w:t xml:space="preserve"> for BH programs.</w:t>
      </w:r>
    </w:p>
    <w:p w:rsidR="005878E4" w:rsidRPr="00AD733A" w:rsidRDefault="005878E4" w:rsidP="009B5067">
      <w:pPr>
        <w:pStyle w:val="ListParagraph"/>
        <w:numPr>
          <w:ilvl w:val="0"/>
          <w:numId w:val="14"/>
        </w:numPr>
        <w:rPr>
          <w:i/>
        </w:rPr>
      </w:pPr>
      <w:r w:rsidRPr="00AD733A">
        <w:rPr>
          <w:i/>
        </w:rPr>
        <w:t xml:space="preserve">increase % of clients participating in at least 10 sessions after first 30 days from </w:t>
      </w:r>
      <w:r w:rsidR="00937986">
        <w:rPr>
          <w:i/>
        </w:rPr>
        <w:t>19.0% to 25</w:t>
      </w:r>
      <w:r w:rsidRPr="00AD733A">
        <w:rPr>
          <w:i/>
        </w:rPr>
        <w:t>% for SA program.</w:t>
      </w:r>
    </w:p>
    <w:p w:rsidR="00C11DF6" w:rsidRPr="00AD733A" w:rsidRDefault="005878E4" w:rsidP="009B5067">
      <w:r w:rsidRPr="00AD733A">
        <w:t xml:space="preserve">Service Access Target </w:t>
      </w:r>
    </w:p>
    <w:p w:rsidR="005878E4" w:rsidRPr="00AD733A" w:rsidRDefault="005878E4" w:rsidP="00C11DF6">
      <w:pPr>
        <w:pStyle w:val="ListParagraph"/>
        <w:numPr>
          <w:ilvl w:val="0"/>
          <w:numId w:val="16"/>
        </w:numPr>
        <w:rPr>
          <w:i/>
        </w:rPr>
      </w:pPr>
      <w:proofErr w:type="gramStart"/>
      <w:r w:rsidRPr="00AD733A">
        <w:rPr>
          <w:i/>
        </w:rPr>
        <w:t>move</w:t>
      </w:r>
      <w:proofErr w:type="gramEnd"/>
      <w:r w:rsidRPr="00AD733A">
        <w:rPr>
          <w:i/>
        </w:rPr>
        <w:t xml:space="preserve"> clients from </w:t>
      </w:r>
      <w:r w:rsidR="0095058B" w:rsidRPr="00AD733A">
        <w:rPr>
          <w:i/>
        </w:rPr>
        <w:t>A</w:t>
      </w:r>
      <w:r w:rsidRPr="00AD733A">
        <w:rPr>
          <w:i/>
        </w:rPr>
        <w:t>SA waiting list to service</w:t>
      </w:r>
      <w:r w:rsidR="00904552" w:rsidRPr="00AD733A">
        <w:rPr>
          <w:i/>
        </w:rPr>
        <w:t>s</w:t>
      </w:r>
      <w:r w:rsidRPr="00AD733A">
        <w:rPr>
          <w:i/>
        </w:rPr>
        <w:t xml:space="preserve"> within 10 days of referral.</w:t>
      </w:r>
    </w:p>
    <w:p w:rsidR="005878E4" w:rsidRPr="00AD733A" w:rsidRDefault="005878E4" w:rsidP="00C11DF6">
      <w:pPr>
        <w:pStyle w:val="ListParagraph"/>
        <w:numPr>
          <w:ilvl w:val="0"/>
          <w:numId w:val="16"/>
        </w:numPr>
        <w:rPr>
          <w:i/>
        </w:rPr>
      </w:pPr>
      <w:r w:rsidRPr="00AD733A">
        <w:rPr>
          <w:i/>
        </w:rPr>
        <w:t xml:space="preserve">99% occupancy rate for residential CSR home. </w:t>
      </w:r>
    </w:p>
    <w:p w:rsidR="005878E4" w:rsidRPr="00AD733A" w:rsidRDefault="005878E4" w:rsidP="009B5067">
      <w:pPr>
        <w:pStyle w:val="BodyTextIndent2"/>
        <w:rPr>
          <w:rFonts w:ascii="Times New Roman" w:hAnsi="Times New Roman"/>
        </w:rPr>
      </w:pPr>
    </w:p>
    <w:p w:rsidR="005878E4" w:rsidRPr="00AD733A" w:rsidRDefault="005878E4" w:rsidP="00261E68">
      <w:pPr>
        <w:pStyle w:val="BodyTextIndent2"/>
        <w:ind w:left="0"/>
        <w:rPr>
          <w:rFonts w:ascii="Times New Roman" w:hAnsi="Times New Roman"/>
          <w:b/>
        </w:rPr>
      </w:pPr>
      <w:r w:rsidRPr="00AD733A">
        <w:rPr>
          <w:rFonts w:ascii="Times New Roman" w:hAnsi="Times New Roman"/>
          <w:b/>
        </w:rPr>
        <w:t>DEVELOPMENTAL SERVICES</w:t>
      </w:r>
    </w:p>
    <w:p w:rsidR="00C11DF6" w:rsidRPr="00AD733A" w:rsidRDefault="005878E4" w:rsidP="009B5067">
      <w:r w:rsidRPr="00AD733A">
        <w:t>Effectiveness Target</w:t>
      </w:r>
      <w:r w:rsidR="0003057B" w:rsidRPr="00AD733A">
        <w:t xml:space="preserve"> </w:t>
      </w:r>
    </w:p>
    <w:p w:rsidR="00C11DF6" w:rsidRPr="00AD733A" w:rsidRDefault="003D59A4" w:rsidP="00C11DF6">
      <w:pPr>
        <w:pStyle w:val="ListParagraph"/>
        <w:numPr>
          <w:ilvl w:val="0"/>
          <w:numId w:val="17"/>
        </w:numPr>
        <w:rPr>
          <w:i/>
        </w:rPr>
      </w:pPr>
      <w:proofErr w:type="gramStart"/>
      <w:r w:rsidRPr="00AD733A">
        <w:rPr>
          <w:i/>
        </w:rPr>
        <w:t>increase</w:t>
      </w:r>
      <w:proofErr w:type="gramEnd"/>
      <w:r w:rsidRPr="00AD733A">
        <w:rPr>
          <w:i/>
        </w:rPr>
        <w:t xml:space="preserve"> work wages for DT program by accumulative dollars higher than -$</w:t>
      </w:r>
      <w:r w:rsidR="004A07FF" w:rsidRPr="00AD733A">
        <w:rPr>
          <w:i/>
        </w:rPr>
        <w:t>20.69.</w:t>
      </w:r>
      <w:r w:rsidR="005878E4" w:rsidRPr="00AD733A">
        <w:rPr>
          <w:i/>
        </w:rPr>
        <w:t xml:space="preserve">  </w:t>
      </w:r>
    </w:p>
    <w:p w:rsidR="005878E4" w:rsidRPr="00AD733A" w:rsidRDefault="005878E4" w:rsidP="00C11DF6">
      <w:pPr>
        <w:pStyle w:val="ListParagraph"/>
        <w:numPr>
          <w:ilvl w:val="0"/>
          <w:numId w:val="17"/>
        </w:numPr>
        <w:rPr>
          <w:i/>
        </w:rPr>
      </w:pPr>
      <w:proofErr w:type="gramStart"/>
      <w:r w:rsidRPr="00AD733A">
        <w:rPr>
          <w:i/>
        </w:rPr>
        <w:t>increase</w:t>
      </w:r>
      <w:proofErr w:type="gramEnd"/>
      <w:r w:rsidRPr="00AD733A">
        <w:rPr>
          <w:i/>
        </w:rPr>
        <w:t xml:space="preserve"> </w:t>
      </w:r>
      <w:r w:rsidR="0003057B" w:rsidRPr="00AD733A">
        <w:rPr>
          <w:i/>
        </w:rPr>
        <w:t xml:space="preserve">overall </w:t>
      </w:r>
      <w:r w:rsidR="003D59A4" w:rsidRPr="00AD733A">
        <w:rPr>
          <w:i/>
        </w:rPr>
        <w:t xml:space="preserve">CILA </w:t>
      </w:r>
      <w:r w:rsidR="0003057B" w:rsidRPr="00AD733A">
        <w:rPr>
          <w:i/>
        </w:rPr>
        <w:t xml:space="preserve">ICAP scores </w:t>
      </w:r>
      <w:r w:rsidR="009B0830" w:rsidRPr="00AD733A">
        <w:rPr>
          <w:i/>
        </w:rPr>
        <w:t xml:space="preserve">by 15 points </w:t>
      </w:r>
      <w:r w:rsidR="003D59A4" w:rsidRPr="00AD733A">
        <w:rPr>
          <w:i/>
        </w:rPr>
        <w:t>or higher</w:t>
      </w:r>
      <w:r w:rsidRPr="00AD733A">
        <w:rPr>
          <w:i/>
        </w:rPr>
        <w:t xml:space="preserve">. </w:t>
      </w:r>
    </w:p>
    <w:p w:rsidR="005878E4" w:rsidRPr="00AD733A" w:rsidRDefault="005878E4" w:rsidP="00C11DF6">
      <w:pPr>
        <w:pStyle w:val="ListParagraph"/>
        <w:numPr>
          <w:ilvl w:val="0"/>
          <w:numId w:val="17"/>
        </w:numPr>
        <w:rPr>
          <w:i/>
        </w:rPr>
      </w:pPr>
      <w:proofErr w:type="gramStart"/>
      <w:r w:rsidRPr="00AD733A">
        <w:rPr>
          <w:i/>
        </w:rPr>
        <w:t>increase</w:t>
      </w:r>
      <w:proofErr w:type="gramEnd"/>
      <w:r w:rsidRPr="00AD733A">
        <w:rPr>
          <w:i/>
        </w:rPr>
        <w:t xml:space="preserve"> </w:t>
      </w:r>
      <w:r w:rsidR="0003057B" w:rsidRPr="00AD733A">
        <w:rPr>
          <w:i/>
        </w:rPr>
        <w:t>in overall</w:t>
      </w:r>
      <w:r w:rsidR="009B0830" w:rsidRPr="00AD733A">
        <w:rPr>
          <w:i/>
        </w:rPr>
        <w:t xml:space="preserve"> </w:t>
      </w:r>
      <w:r w:rsidR="00F3749F" w:rsidRPr="00AD733A">
        <w:rPr>
          <w:i/>
        </w:rPr>
        <w:t xml:space="preserve">HBS </w:t>
      </w:r>
      <w:r w:rsidR="00CB7C04" w:rsidRPr="00AD733A">
        <w:rPr>
          <w:i/>
        </w:rPr>
        <w:t>ICAP score to above a negative</w:t>
      </w:r>
      <w:r w:rsidR="009B0830" w:rsidRPr="00AD733A">
        <w:rPr>
          <w:i/>
        </w:rPr>
        <w:t xml:space="preserve"> 12 or higher</w:t>
      </w:r>
      <w:r w:rsidRPr="00AD733A">
        <w:rPr>
          <w:i/>
        </w:rPr>
        <w:t>.</w:t>
      </w:r>
    </w:p>
    <w:p w:rsidR="00C11DF6" w:rsidRPr="00AD733A" w:rsidRDefault="005878E4" w:rsidP="009B5067">
      <w:r w:rsidRPr="00AD733A">
        <w:t xml:space="preserve">Efficiency Target </w:t>
      </w:r>
    </w:p>
    <w:p w:rsidR="005878E4" w:rsidRPr="00AD733A" w:rsidRDefault="00EB607F" w:rsidP="00C11DF6">
      <w:pPr>
        <w:pStyle w:val="ListParagraph"/>
        <w:numPr>
          <w:ilvl w:val="0"/>
          <w:numId w:val="18"/>
        </w:numPr>
        <w:rPr>
          <w:i/>
        </w:rPr>
      </w:pPr>
      <w:r w:rsidRPr="00AD733A">
        <w:rPr>
          <w:i/>
        </w:rPr>
        <w:t>99% occupancy rate for</w:t>
      </w:r>
      <w:r w:rsidR="005878E4" w:rsidRPr="00AD733A">
        <w:rPr>
          <w:i/>
        </w:rPr>
        <w:t xml:space="preserve"> </w:t>
      </w:r>
      <w:r w:rsidR="00C20FA2" w:rsidRPr="00AD733A">
        <w:rPr>
          <w:i/>
        </w:rPr>
        <w:t xml:space="preserve">each </w:t>
      </w:r>
      <w:r w:rsidR="00904552" w:rsidRPr="00AD733A">
        <w:rPr>
          <w:i/>
        </w:rPr>
        <w:t xml:space="preserve">4 </w:t>
      </w:r>
      <w:r w:rsidR="005878E4" w:rsidRPr="00AD733A">
        <w:rPr>
          <w:i/>
        </w:rPr>
        <w:t xml:space="preserve">CILA </w:t>
      </w:r>
      <w:r w:rsidR="00C20FA2" w:rsidRPr="00AD733A">
        <w:rPr>
          <w:i/>
        </w:rPr>
        <w:t>residential home</w:t>
      </w:r>
      <w:r w:rsidR="005878E4" w:rsidRPr="00AD733A">
        <w:rPr>
          <w:i/>
        </w:rPr>
        <w:t>s.</w:t>
      </w:r>
    </w:p>
    <w:p w:rsidR="00EB607F" w:rsidRPr="00AD733A" w:rsidRDefault="00EB607F" w:rsidP="00C11DF6">
      <w:pPr>
        <w:pStyle w:val="ListParagraph"/>
        <w:numPr>
          <w:ilvl w:val="0"/>
          <w:numId w:val="18"/>
        </w:numPr>
        <w:rPr>
          <w:i/>
        </w:rPr>
      </w:pPr>
      <w:r w:rsidRPr="00AD733A">
        <w:rPr>
          <w:i/>
        </w:rPr>
        <w:t>Increase DT</w:t>
      </w:r>
      <w:r w:rsidR="00F3749F" w:rsidRPr="00AD733A">
        <w:rPr>
          <w:i/>
        </w:rPr>
        <w:t xml:space="preserve"> FY16</w:t>
      </w:r>
      <w:r w:rsidRPr="00AD733A">
        <w:rPr>
          <w:i/>
        </w:rPr>
        <w:t xml:space="preserve"> revenue to above FY15 income </w:t>
      </w:r>
      <w:r w:rsidR="003D59A4" w:rsidRPr="00AD733A">
        <w:rPr>
          <w:i/>
        </w:rPr>
        <w:t>of $655,964.</w:t>
      </w:r>
    </w:p>
    <w:p w:rsidR="005878E4" w:rsidRPr="00AD733A" w:rsidRDefault="003D59A4" w:rsidP="00C11DF6">
      <w:pPr>
        <w:pStyle w:val="ListParagraph"/>
        <w:numPr>
          <w:ilvl w:val="0"/>
          <w:numId w:val="18"/>
        </w:numPr>
        <w:rPr>
          <w:i/>
        </w:rPr>
      </w:pPr>
      <w:r w:rsidRPr="00AD733A">
        <w:rPr>
          <w:i/>
        </w:rPr>
        <w:t xml:space="preserve">99% of </w:t>
      </w:r>
      <w:r w:rsidR="00F3749F" w:rsidRPr="00AD733A">
        <w:rPr>
          <w:i/>
        </w:rPr>
        <w:t xml:space="preserve">HBS </w:t>
      </w:r>
      <w:r w:rsidRPr="00AD733A">
        <w:rPr>
          <w:i/>
        </w:rPr>
        <w:t>clients served</w:t>
      </w:r>
      <w:r w:rsidR="00904552" w:rsidRPr="00AD733A">
        <w:rPr>
          <w:i/>
        </w:rPr>
        <w:t xml:space="preserve"> to remain</w:t>
      </w:r>
      <w:r w:rsidRPr="00AD733A">
        <w:rPr>
          <w:i/>
        </w:rPr>
        <w:t xml:space="preserve"> i</w:t>
      </w:r>
      <w:r w:rsidR="00AC3123" w:rsidRPr="00AD733A">
        <w:rPr>
          <w:i/>
        </w:rPr>
        <w:t xml:space="preserve">n their </w:t>
      </w:r>
      <w:r w:rsidR="005878E4" w:rsidRPr="00AD733A">
        <w:rPr>
          <w:i/>
        </w:rPr>
        <w:t>home / community.</w:t>
      </w:r>
    </w:p>
    <w:p w:rsidR="00C11DF6" w:rsidRPr="00AD733A" w:rsidRDefault="005878E4" w:rsidP="009B5067">
      <w:r w:rsidRPr="00AD733A">
        <w:t xml:space="preserve">Service Access Target </w:t>
      </w:r>
    </w:p>
    <w:p w:rsidR="005878E4" w:rsidRPr="00AD733A" w:rsidRDefault="005878E4" w:rsidP="00C11DF6">
      <w:pPr>
        <w:pStyle w:val="ListParagraph"/>
        <w:numPr>
          <w:ilvl w:val="0"/>
          <w:numId w:val="19"/>
        </w:numPr>
        <w:rPr>
          <w:i/>
        </w:rPr>
      </w:pPr>
      <w:proofErr w:type="gramStart"/>
      <w:r w:rsidRPr="00AD733A">
        <w:rPr>
          <w:i/>
        </w:rPr>
        <w:t>develop</w:t>
      </w:r>
      <w:proofErr w:type="gramEnd"/>
      <w:r w:rsidRPr="00AD733A">
        <w:rPr>
          <w:i/>
        </w:rPr>
        <w:t xml:space="preserve"> 1 ad</w:t>
      </w:r>
      <w:r w:rsidR="00266E82" w:rsidRPr="00AD733A">
        <w:rPr>
          <w:i/>
        </w:rPr>
        <w:t xml:space="preserve">ditional </w:t>
      </w:r>
      <w:r w:rsidR="00F3749F" w:rsidRPr="00AD733A">
        <w:rPr>
          <w:i/>
        </w:rPr>
        <w:t xml:space="preserve">DT sub-minimum wage program </w:t>
      </w:r>
      <w:r w:rsidR="00266E82" w:rsidRPr="00AD733A">
        <w:rPr>
          <w:i/>
        </w:rPr>
        <w:t xml:space="preserve">community </w:t>
      </w:r>
      <w:r w:rsidR="004A07FF" w:rsidRPr="00AD733A">
        <w:rPr>
          <w:i/>
        </w:rPr>
        <w:t>contract</w:t>
      </w:r>
      <w:r w:rsidRPr="00AD733A">
        <w:rPr>
          <w:i/>
        </w:rPr>
        <w:t xml:space="preserve">. </w:t>
      </w:r>
    </w:p>
    <w:p w:rsidR="005878E4" w:rsidRPr="00AD733A" w:rsidRDefault="005878E4" w:rsidP="00C11DF6">
      <w:pPr>
        <w:pStyle w:val="ListParagraph"/>
        <w:numPr>
          <w:ilvl w:val="0"/>
          <w:numId w:val="19"/>
        </w:numPr>
        <w:rPr>
          <w:i/>
        </w:rPr>
      </w:pPr>
      <w:proofErr w:type="gramStart"/>
      <w:r w:rsidRPr="00AD733A">
        <w:rPr>
          <w:i/>
        </w:rPr>
        <w:t>expand</w:t>
      </w:r>
      <w:proofErr w:type="gramEnd"/>
      <w:r w:rsidRPr="00AD733A">
        <w:rPr>
          <w:i/>
        </w:rPr>
        <w:t xml:space="preserve"> number of </w:t>
      </w:r>
      <w:r w:rsidR="00266E82" w:rsidRPr="00AD733A">
        <w:rPr>
          <w:i/>
        </w:rPr>
        <w:t>HBS clients being served from 4</w:t>
      </w:r>
      <w:r w:rsidR="00AC3123" w:rsidRPr="00AD733A">
        <w:rPr>
          <w:i/>
        </w:rPr>
        <w:t xml:space="preserve">9 to </w:t>
      </w:r>
      <w:r w:rsidR="00266E82" w:rsidRPr="00AD733A">
        <w:rPr>
          <w:i/>
        </w:rPr>
        <w:t>5</w:t>
      </w:r>
      <w:r w:rsidR="00AC3123" w:rsidRPr="00AD733A">
        <w:rPr>
          <w:i/>
        </w:rPr>
        <w:t>2</w:t>
      </w:r>
      <w:r w:rsidRPr="00AD733A">
        <w:rPr>
          <w:i/>
        </w:rPr>
        <w:t>.</w:t>
      </w:r>
    </w:p>
    <w:p w:rsidR="00672535" w:rsidRPr="00AD733A" w:rsidRDefault="00672535" w:rsidP="009B5067"/>
    <w:p w:rsidR="00501AFE" w:rsidRPr="00AD733A" w:rsidRDefault="00501AFE" w:rsidP="009B5067">
      <w:pPr>
        <w:rPr>
          <w:b/>
        </w:rPr>
      </w:pPr>
      <w:r w:rsidRPr="00AD733A">
        <w:rPr>
          <w:b/>
        </w:rPr>
        <w:t>AGENCY</w:t>
      </w:r>
    </w:p>
    <w:p w:rsidR="00C11DF6" w:rsidRPr="00AD733A" w:rsidRDefault="00CA315A" w:rsidP="009B5067">
      <w:r w:rsidRPr="00AD733A">
        <w:t xml:space="preserve">Satisfaction Target </w:t>
      </w:r>
    </w:p>
    <w:p w:rsidR="00AC3123" w:rsidRPr="00AD733A" w:rsidRDefault="00501AFE" w:rsidP="00C11DF6">
      <w:pPr>
        <w:pStyle w:val="ListParagraph"/>
        <w:numPr>
          <w:ilvl w:val="0"/>
          <w:numId w:val="20"/>
        </w:numPr>
        <w:rPr>
          <w:i/>
        </w:rPr>
      </w:pPr>
      <w:proofErr w:type="gramStart"/>
      <w:r w:rsidRPr="00AD733A">
        <w:rPr>
          <w:i/>
        </w:rPr>
        <w:t>agency</w:t>
      </w:r>
      <w:proofErr w:type="gramEnd"/>
      <w:r w:rsidRPr="00AD733A">
        <w:rPr>
          <w:i/>
        </w:rPr>
        <w:t xml:space="preserve"> </w:t>
      </w:r>
      <w:r w:rsidR="00993537" w:rsidRPr="00AD733A">
        <w:rPr>
          <w:i/>
        </w:rPr>
        <w:t xml:space="preserve">clients, </w:t>
      </w:r>
      <w:r w:rsidR="001B7255" w:rsidRPr="00AD733A">
        <w:rPr>
          <w:i/>
        </w:rPr>
        <w:t>stakeholders</w:t>
      </w:r>
      <w:r w:rsidR="00993537" w:rsidRPr="00AD733A">
        <w:rPr>
          <w:i/>
        </w:rPr>
        <w:t>,</w:t>
      </w:r>
      <w:r w:rsidRPr="00AD733A">
        <w:rPr>
          <w:i/>
        </w:rPr>
        <w:t xml:space="preserve"> </w:t>
      </w:r>
      <w:r w:rsidR="00993537" w:rsidRPr="00AD733A">
        <w:rPr>
          <w:i/>
        </w:rPr>
        <w:t xml:space="preserve">and staff </w:t>
      </w:r>
      <w:r w:rsidRPr="00AD733A">
        <w:rPr>
          <w:i/>
        </w:rPr>
        <w:t xml:space="preserve">satisfaction </w:t>
      </w:r>
      <w:r w:rsidR="00CA315A" w:rsidRPr="00AD733A">
        <w:rPr>
          <w:i/>
        </w:rPr>
        <w:t xml:space="preserve">scoring </w:t>
      </w:r>
      <w:r w:rsidRPr="00AD733A">
        <w:rPr>
          <w:i/>
        </w:rPr>
        <w:t xml:space="preserve">rate </w:t>
      </w:r>
      <w:r w:rsidR="00F3749F" w:rsidRPr="00AD733A">
        <w:rPr>
          <w:i/>
        </w:rPr>
        <w:t xml:space="preserve">of </w:t>
      </w:r>
      <w:r w:rsidR="003D59A4" w:rsidRPr="00AD733A">
        <w:rPr>
          <w:i/>
        </w:rPr>
        <w:t>75% or higher</w:t>
      </w:r>
      <w:r w:rsidRPr="00AD733A">
        <w:rPr>
          <w:i/>
        </w:rPr>
        <w:t xml:space="preserve">. </w:t>
      </w:r>
    </w:p>
    <w:p w:rsidR="001A5D6B" w:rsidRPr="00AD733A" w:rsidRDefault="00501AFE" w:rsidP="00C11DF6">
      <w:pPr>
        <w:pStyle w:val="ListParagraph"/>
        <w:numPr>
          <w:ilvl w:val="0"/>
          <w:numId w:val="20"/>
        </w:numPr>
        <w:rPr>
          <w:i/>
        </w:rPr>
      </w:pPr>
      <w:proofErr w:type="gramStart"/>
      <w:r w:rsidRPr="00AD733A">
        <w:rPr>
          <w:i/>
        </w:rPr>
        <w:t>agency</w:t>
      </w:r>
      <w:proofErr w:type="gramEnd"/>
      <w:r w:rsidRPr="00AD733A">
        <w:rPr>
          <w:i/>
        </w:rPr>
        <w:t xml:space="preserve"> </w:t>
      </w:r>
      <w:r w:rsidR="00993537" w:rsidRPr="00AD733A">
        <w:rPr>
          <w:i/>
        </w:rPr>
        <w:t xml:space="preserve">staff retention </w:t>
      </w:r>
      <w:r w:rsidR="004A617D" w:rsidRPr="00AD733A">
        <w:rPr>
          <w:i/>
        </w:rPr>
        <w:t xml:space="preserve">loss </w:t>
      </w:r>
      <w:r w:rsidR="00993537" w:rsidRPr="00AD733A">
        <w:rPr>
          <w:i/>
        </w:rPr>
        <w:t xml:space="preserve">rate to be 20% or less. </w:t>
      </w:r>
    </w:p>
    <w:p w:rsidR="00C11DF6" w:rsidRPr="00AD733A" w:rsidRDefault="00501AFE" w:rsidP="009B5067">
      <w:r w:rsidRPr="00AD733A">
        <w:t xml:space="preserve">Efficiency Target </w:t>
      </w:r>
    </w:p>
    <w:p w:rsidR="00AC3123" w:rsidRPr="00AD733A" w:rsidRDefault="00AC3123" w:rsidP="00C11DF6">
      <w:pPr>
        <w:pStyle w:val="ListParagraph"/>
        <w:numPr>
          <w:ilvl w:val="0"/>
          <w:numId w:val="21"/>
        </w:numPr>
        <w:rPr>
          <w:i/>
        </w:rPr>
      </w:pPr>
      <w:proofErr w:type="gramStart"/>
      <w:r w:rsidRPr="00AD733A">
        <w:rPr>
          <w:i/>
        </w:rPr>
        <w:t>transition</w:t>
      </w:r>
      <w:proofErr w:type="gramEnd"/>
      <w:r w:rsidRPr="00AD733A">
        <w:rPr>
          <w:i/>
        </w:rPr>
        <w:t xml:space="preserve"> personnel </w:t>
      </w:r>
      <w:r w:rsidR="00CB7C04" w:rsidRPr="00AD733A">
        <w:rPr>
          <w:i/>
        </w:rPr>
        <w:t>tracking of Affordable Healthc</w:t>
      </w:r>
      <w:r w:rsidR="004A617D" w:rsidRPr="00AD733A">
        <w:rPr>
          <w:i/>
        </w:rPr>
        <w:t>are Act</w:t>
      </w:r>
      <w:r w:rsidR="00904552" w:rsidRPr="00AD733A">
        <w:rPr>
          <w:i/>
        </w:rPr>
        <w:t xml:space="preserve"> requirements</w:t>
      </w:r>
      <w:r w:rsidR="004A617D" w:rsidRPr="00AD733A">
        <w:rPr>
          <w:i/>
        </w:rPr>
        <w:t xml:space="preserve"> in</w:t>
      </w:r>
      <w:r w:rsidRPr="00AD733A">
        <w:rPr>
          <w:i/>
        </w:rPr>
        <w:t>to ADP services.</w:t>
      </w:r>
    </w:p>
    <w:p w:rsidR="00C11DF6" w:rsidRPr="00AD733A" w:rsidRDefault="00CA315A" w:rsidP="009B5067">
      <w:r w:rsidRPr="00AD733A">
        <w:t xml:space="preserve">Effectiveness Target </w:t>
      </w:r>
    </w:p>
    <w:p w:rsidR="00CA315A" w:rsidRPr="00AD733A" w:rsidRDefault="00CA315A" w:rsidP="00C11DF6">
      <w:pPr>
        <w:pStyle w:val="ListParagraph"/>
        <w:numPr>
          <w:ilvl w:val="0"/>
          <w:numId w:val="21"/>
        </w:numPr>
        <w:rPr>
          <w:i/>
        </w:rPr>
      </w:pPr>
      <w:proofErr w:type="gramStart"/>
      <w:r w:rsidRPr="00AD733A">
        <w:rPr>
          <w:i/>
        </w:rPr>
        <w:t>participate</w:t>
      </w:r>
      <w:proofErr w:type="gramEnd"/>
      <w:r w:rsidRPr="00AD733A">
        <w:rPr>
          <w:i/>
        </w:rPr>
        <w:t xml:space="preserve"> in at</w:t>
      </w:r>
      <w:r w:rsidR="0083265D" w:rsidRPr="00AD733A">
        <w:rPr>
          <w:i/>
        </w:rPr>
        <w:t xml:space="preserve"> least 3 outreach opportunities (mailing brochures, festivals, parades, informational tables).</w:t>
      </w:r>
    </w:p>
    <w:p w:rsidR="00C11DF6" w:rsidRPr="00AD733A" w:rsidRDefault="00501AFE" w:rsidP="009B5067">
      <w:r w:rsidRPr="00AD733A">
        <w:t xml:space="preserve">Service Access Target </w:t>
      </w:r>
    </w:p>
    <w:p w:rsidR="00501AFE" w:rsidRPr="00AD733A" w:rsidRDefault="001A5D6B" w:rsidP="00C11DF6">
      <w:pPr>
        <w:pStyle w:val="ListParagraph"/>
        <w:numPr>
          <w:ilvl w:val="0"/>
          <w:numId w:val="21"/>
        </w:numPr>
        <w:rPr>
          <w:i/>
        </w:rPr>
      </w:pPr>
      <w:proofErr w:type="gramStart"/>
      <w:r w:rsidRPr="00AD733A">
        <w:rPr>
          <w:i/>
        </w:rPr>
        <w:t>diversify</w:t>
      </w:r>
      <w:proofErr w:type="gramEnd"/>
      <w:r w:rsidRPr="00AD733A">
        <w:rPr>
          <w:i/>
        </w:rPr>
        <w:t xml:space="preserve"> </w:t>
      </w:r>
      <w:r w:rsidR="00D71417" w:rsidRPr="00AD733A">
        <w:rPr>
          <w:i/>
        </w:rPr>
        <w:t>FCCI</w:t>
      </w:r>
      <w:r w:rsidR="00501AFE" w:rsidRPr="00AD733A">
        <w:rPr>
          <w:i/>
        </w:rPr>
        <w:t xml:space="preserve"> funding sources</w:t>
      </w:r>
      <w:r w:rsidR="00746A8E" w:rsidRPr="00AD733A">
        <w:rPr>
          <w:i/>
        </w:rPr>
        <w:t xml:space="preserve"> outside of State of Illinois income</w:t>
      </w:r>
      <w:r w:rsidRPr="00AD733A">
        <w:rPr>
          <w:i/>
        </w:rPr>
        <w:t xml:space="preserve"> by 1 payer</w:t>
      </w:r>
      <w:r w:rsidR="00501AFE" w:rsidRPr="00AD733A">
        <w:rPr>
          <w:i/>
        </w:rPr>
        <w:t xml:space="preserve">. </w:t>
      </w:r>
    </w:p>
    <w:p w:rsidR="001A5D6B" w:rsidRPr="00AD733A" w:rsidRDefault="003D2A76" w:rsidP="00C11DF6">
      <w:pPr>
        <w:pStyle w:val="ListParagraph"/>
        <w:numPr>
          <w:ilvl w:val="0"/>
          <w:numId w:val="21"/>
        </w:numPr>
        <w:rPr>
          <w:i/>
        </w:rPr>
      </w:pPr>
      <w:proofErr w:type="gramStart"/>
      <w:r w:rsidRPr="00AD733A">
        <w:rPr>
          <w:i/>
        </w:rPr>
        <w:t>increase</w:t>
      </w:r>
      <w:proofErr w:type="gramEnd"/>
      <w:r w:rsidRPr="00AD733A">
        <w:rPr>
          <w:i/>
        </w:rPr>
        <w:t xml:space="preserve"> </w:t>
      </w:r>
      <w:r w:rsidR="00D71417" w:rsidRPr="00AD733A">
        <w:rPr>
          <w:i/>
        </w:rPr>
        <w:t>FCCI</w:t>
      </w:r>
      <w:r w:rsidRPr="00AD733A">
        <w:rPr>
          <w:i/>
        </w:rPr>
        <w:t xml:space="preserve"> marketing efforts</w:t>
      </w:r>
      <w:r w:rsidR="0083265D" w:rsidRPr="00AD733A">
        <w:rPr>
          <w:i/>
        </w:rPr>
        <w:t xml:space="preserve"> by providing a job fai</w:t>
      </w:r>
      <w:r w:rsidR="00CB7C04" w:rsidRPr="00AD733A">
        <w:rPr>
          <w:i/>
        </w:rPr>
        <w:t>r, increase fundraising revenue,</w:t>
      </w:r>
      <w:r w:rsidR="0083265D" w:rsidRPr="00AD733A">
        <w:rPr>
          <w:i/>
        </w:rPr>
        <w:t xml:space="preserve"> increase attendance at public events, and offer / support 3 community events. </w:t>
      </w:r>
    </w:p>
    <w:p w:rsidR="00261E68" w:rsidRPr="00AD733A" w:rsidRDefault="0060607C" w:rsidP="000752FA">
      <w:pPr>
        <w:pStyle w:val="Heading5"/>
        <w:numPr>
          <w:ilvl w:val="0"/>
          <w:numId w:val="5"/>
        </w:numPr>
        <w:jc w:val="left"/>
        <w:rPr>
          <w:rFonts w:ascii="Times New Roman" w:hAnsi="Times New Roman" w:cs="Times New Roman"/>
          <w:b/>
          <w:color w:val="auto"/>
          <w:u w:val="single"/>
        </w:rPr>
      </w:pPr>
      <w:r w:rsidRPr="00AD733A">
        <w:rPr>
          <w:rFonts w:ascii="Times New Roman" w:hAnsi="Times New Roman" w:cs="Times New Roman"/>
          <w:b/>
          <w:color w:val="auto"/>
          <w:u w:val="single"/>
        </w:rPr>
        <w:lastRenderedPageBreak/>
        <w:t>P</w:t>
      </w:r>
      <w:r w:rsidR="00261E68" w:rsidRPr="00AD733A">
        <w:rPr>
          <w:rFonts w:ascii="Times New Roman" w:hAnsi="Times New Roman" w:cs="Times New Roman"/>
          <w:b/>
          <w:color w:val="auto"/>
          <w:u w:val="single"/>
        </w:rPr>
        <w:t>ROGRAM DESCRIPTIONS</w:t>
      </w:r>
    </w:p>
    <w:p w:rsidR="00261E68" w:rsidRPr="00AD733A" w:rsidRDefault="00261E68" w:rsidP="00261E68">
      <w:pPr>
        <w:pStyle w:val="Heading5"/>
        <w:jc w:val="left"/>
        <w:rPr>
          <w:rFonts w:ascii="Times New Roman" w:hAnsi="Times New Roman" w:cs="Times New Roman"/>
          <w:b/>
          <w:color w:val="auto"/>
        </w:rPr>
      </w:pPr>
      <w:r w:rsidRPr="00AD733A">
        <w:rPr>
          <w:rFonts w:ascii="Times New Roman" w:hAnsi="Times New Roman" w:cs="Times New Roman"/>
          <w:b/>
          <w:color w:val="auto"/>
        </w:rPr>
        <w:t>BEHAVIORAL HEALTH DIVISION:</w:t>
      </w:r>
    </w:p>
    <w:p w:rsidR="00261E68" w:rsidRPr="00AD733A" w:rsidRDefault="00261E68" w:rsidP="00261E68">
      <w:pPr>
        <w:rPr>
          <w:b/>
          <w:bCs/>
          <w:u w:val="single"/>
        </w:rPr>
      </w:pPr>
      <w:r w:rsidRPr="00AD733A">
        <w:rPr>
          <w:b/>
          <w:bCs/>
          <w:u w:val="single"/>
        </w:rPr>
        <w:t xml:space="preserve">Substance Abuse (ASA Youth &amp; </w:t>
      </w:r>
      <w:r w:rsidR="00F93ADB" w:rsidRPr="00AD733A">
        <w:rPr>
          <w:b/>
          <w:bCs/>
          <w:u w:val="single"/>
        </w:rPr>
        <w:t>Child)</w:t>
      </w:r>
    </w:p>
    <w:p w:rsidR="00261E68" w:rsidRPr="00AD733A" w:rsidRDefault="00261E68" w:rsidP="00CB7C04">
      <w:pPr>
        <w:pStyle w:val="BodyTextIndent2"/>
        <w:jc w:val="both"/>
        <w:rPr>
          <w:rFonts w:ascii="Times New Roman" w:hAnsi="Times New Roman"/>
        </w:rPr>
      </w:pPr>
      <w:r w:rsidRPr="00AD733A">
        <w:rPr>
          <w:rFonts w:ascii="Times New Roman" w:hAnsi="Times New Roman"/>
        </w:rPr>
        <w:t xml:space="preserve">Substance Abuse program provides </w:t>
      </w:r>
      <w:r w:rsidR="00686457" w:rsidRPr="00AD733A">
        <w:rPr>
          <w:rFonts w:ascii="Times New Roman" w:hAnsi="Times New Roman"/>
        </w:rPr>
        <w:t xml:space="preserve">outpatient </w:t>
      </w:r>
      <w:r w:rsidRPr="00AD733A">
        <w:rPr>
          <w:rFonts w:ascii="Times New Roman" w:hAnsi="Times New Roman"/>
        </w:rPr>
        <w:t>services to youth and adults with substance abuse or dependency issues or to family members of an individual with substance abuse or dependency issues.</w:t>
      </w:r>
    </w:p>
    <w:p w:rsidR="00261E68" w:rsidRPr="00AD733A" w:rsidRDefault="00261E68" w:rsidP="00261E68">
      <w:pPr>
        <w:rPr>
          <w:b/>
          <w:bCs/>
          <w:u w:val="single"/>
        </w:rPr>
      </w:pPr>
    </w:p>
    <w:p w:rsidR="00261E68" w:rsidRPr="00AD733A" w:rsidRDefault="00261E68" w:rsidP="00261E68">
      <w:pPr>
        <w:rPr>
          <w:b/>
          <w:bCs/>
          <w:u w:val="single"/>
        </w:rPr>
      </w:pPr>
      <w:r w:rsidRPr="00AD733A">
        <w:rPr>
          <w:b/>
          <w:bCs/>
          <w:u w:val="single"/>
        </w:rPr>
        <w:t>Community Support Residential (CSR)</w:t>
      </w:r>
    </w:p>
    <w:p w:rsidR="00261E68" w:rsidRPr="00AD733A" w:rsidRDefault="00261E68" w:rsidP="00CB7C04">
      <w:pPr>
        <w:pStyle w:val="BodyTextIndent2"/>
        <w:jc w:val="both"/>
        <w:rPr>
          <w:rFonts w:ascii="Times New Roman" w:hAnsi="Times New Roman"/>
        </w:rPr>
      </w:pPr>
      <w:r w:rsidRPr="00AD733A">
        <w:rPr>
          <w:rFonts w:ascii="Times New Roman" w:hAnsi="Times New Roman"/>
        </w:rPr>
        <w:t xml:space="preserve">CSR program provides an array of services to adults with a serious mental illness (SMI) </w:t>
      </w:r>
      <w:r w:rsidR="00686457" w:rsidRPr="00AD733A">
        <w:rPr>
          <w:rFonts w:ascii="Times New Roman" w:hAnsi="Times New Roman"/>
        </w:rPr>
        <w:t xml:space="preserve">up to and </w:t>
      </w:r>
      <w:r w:rsidRPr="00AD733A">
        <w:rPr>
          <w:rFonts w:ascii="Times New Roman" w:hAnsi="Times New Roman"/>
        </w:rPr>
        <w:t>in</w:t>
      </w:r>
      <w:r w:rsidR="00686457" w:rsidRPr="00AD733A">
        <w:rPr>
          <w:rFonts w:ascii="Times New Roman" w:hAnsi="Times New Roman"/>
        </w:rPr>
        <w:t>cluding</w:t>
      </w:r>
      <w:r w:rsidRPr="00AD733A">
        <w:rPr>
          <w:rFonts w:ascii="Times New Roman" w:hAnsi="Times New Roman"/>
        </w:rPr>
        <w:t xml:space="preserve"> a </w:t>
      </w:r>
      <w:r w:rsidR="00686457" w:rsidRPr="00AD733A">
        <w:rPr>
          <w:rFonts w:ascii="Times New Roman" w:hAnsi="Times New Roman"/>
        </w:rPr>
        <w:t xml:space="preserve">24-hour </w:t>
      </w:r>
      <w:r w:rsidRPr="00AD733A">
        <w:rPr>
          <w:rFonts w:ascii="Times New Roman" w:hAnsi="Times New Roman"/>
        </w:rPr>
        <w:t>residential setting</w:t>
      </w:r>
      <w:r w:rsidR="00686457" w:rsidRPr="00AD733A">
        <w:rPr>
          <w:rFonts w:ascii="Times New Roman" w:hAnsi="Times New Roman"/>
        </w:rPr>
        <w:t xml:space="preserve"> </w:t>
      </w:r>
      <w:r w:rsidR="002E7069" w:rsidRPr="00AD733A">
        <w:rPr>
          <w:rFonts w:ascii="Times New Roman" w:hAnsi="Times New Roman"/>
        </w:rPr>
        <w:t>using</w:t>
      </w:r>
      <w:r w:rsidR="00686457" w:rsidRPr="00AD733A">
        <w:rPr>
          <w:rFonts w:ascii="Times New Roman" w:hAnsi="Times New Roman"/>
        </w:rPr>
        <w:t xml:space="preserve"> a</w:t>
      </w:r>
      <w:r w:rsidRPr="00AD733A">
        <w:rPr>
          <w:rFonts w:ascii="Times New Roman" w:hAnsi="Times New Roman"/>
        </w:rPr>
        <w:t xml:space="preserve"> multidisciplinary team</w:t>
      </w:r>
      <w:r w:rsidR="00686457" w:rsidRPr="00AD733A">
        <w:rPr>
          <w:rFonts w:ascii="Times New Roman" w:hAnsi="Times New Roman"/>
        </w:rPr>
        <w:t xml:space="preserve"> approach. Services emphasize skill development toward independent living in the</w:t>
      </w:r>
      <w:r w:rsidRPr="00AD733A">
        <w:rPr>
          <w:rFonts w:ascii="Times New Roman" w:hAnsi="Times New Roman"/>
        </w:rPr>
        <w:t xml:space="preserve"> client’s natural environment as opposed to on-site office visits.</w:t>
      </w:r>
    </w:p>
    <w:p w:rsidR="00261E68" w:rsidRPr="00AD733A" w:rsidRDefault="00261E68" w:rsidP="00261E68">
      <w:pPr>
        <w:rPr>
          <w:bCs/>
        </w:rPr>
      </w:pPr>
    </w:p>
    <w:p w:rsidR="00261E68" w:rsidRPr="00AD733A" w:rsidRDefault="00261E68" w:rsidP="00261E68">
      <w:pPr>
        <w:rPr>
          <w:b/>
          <w:bCs/>
          <w:u w:val="single"/>
        </w:rPr>
      </w:pPr>
      <w:r w:rsidRPr="00AD733A">
        <w:rPr>
          <w:b/>
          <w:bCs/>
          <w:u w:val="single"/>
        </w:rPr>
        <w:t>Outpatient Adult (MIOA)</w:t>
      </w:r>
    </w:p>
    <w:p w:rsidR="00261E68" w:rsidRPr="00AD733A" w:rsidRDefault="00261E68" w:rsidP="00CB7C04">
      <w:pPr>
        <w:pStyle w:val="BodyTextIndent2"/>
        <w:jc w:val="both"/>
        <w:rPr>
          <w:rFonts w:ascii="Times New Roman" w:hAnsi="Times New Roman"/>
        </w:rPr>
      </w:pPr>
      <w:r w:rsidRPr="00AD733A">
        <w:rPr>
          <w:rFonts w:ascii="Times New Roman" w:hAnsi="Times New Roman"/>
        </w:rPr>
        <w:t>MIOA program is general outpatient mental health counseling/therapy for adults over the age of 18 or</w:t>
      </w:r>
      <w:r w:rsidR="00904552" w:rsidRPr="00AD733A">
        <w:rPr>
          <w:rFonts w:ascii="Times New Roman" w:hAnsi="Times New Roman"/>
        </w:rPr>
        <w:t xml:space="preserve"> older</w:t>
      </w:r>
      <w:r w:rsidRPr="00AD733A">
        <w:rPr>
          <w:rFonts w:ascii="Times New Roman" w:hAnsi="Times New Roman"/>
        </w:rPr>
        <w:t xml:space="preserve">.  This provides for ongoing case management, community support, counseling, </w:t>
      </w:r>
      <w:proofErr w:type="gramStart"/>
      <w:r w:rsidRPr="00AD733A">
        <w:rPr>
          <w:rFonts w:ascii="Times New Roman" w:hAnsi="Times New Roman"/>
        </w:rPr>
        <w:t>therapy</w:t>
      </w:r>
      <w:proofErr w:type="gramEnd"/>
      <w:r w:rsidRPr="00AD733A">
        <w:rPr>
          <w:rFonts w:ascii="Times New Roman" w:hAnsi="Times New Roman"/>
        </w:rPr>
        <w:t xml:space="preserve"> and crisis intervention services.</w:t>
      </w:r>
    </w:p>
    <w:p w:rsidR="00261E68" w:rsidRPr="00AD733A" w:rsidRDefault="00261E68" w:rsidP="00261E68">
      <w:pPr>
        <w:rPr>
          <w:b/>
          <w:bCs/>
          <w:u w:val="single"/>
        </w:rPr>
      </w:pPr>
    </w:p>
    <w:p w:rsidR="00261E68" w:rsidRPr="00AD733A" w:rsidRDefault="00261E68" w:rsidP="00261E68">
      <w:pPr>
        <w:rPr>
          <w:b/>
          <w:bCs/>
          <w:u w:val="single"/>
        </w:rPr>
      </w:pPr>
      <w:r w:rsidRPr="00AD733A">
        <w:rPr>
          <w:b/>
          <w:bCs/>
          <w:u w:val="single"/>
        </w:rPr>
        <w:t>O</w:t>
      </w:r>
      <w:r w:rsidR="00977474" w:rsidRPr="00AD733A">
        <w:rPr>
          <w:b/>
          <w:bCs/>
          <w:u w:val="single"/>
        </w:rPr>
        <w:t>utpatient Youth (MIOY, SASS, IPS</w:t>
      </w:r>
      <w:r w:rsidR="00471C07" w:rsidRPr="00AD733A">
        <w:rPr>
          <w:b/>
          <w:bCs/>
          <w:u w:val="single"/>
        </w:rPr>
        <w:t xml:space="preserve"> </w:t>
      </w:r>
      <w:r w:rsidRPr="00AD733A">
        <w:rPr>
          <w:b/>
          <w:bCs/>
          <w:u w:val="single"/>
        </w:rPr>
        <w:t>&amp;</w:t>
      </w:r>
      <w:r w:rsidR="00471C07" w:rsidRPr="00AD733A">
        <w:rPr>
          <w:b/>
          <w:bCs/>
          <w:u w:val="single"/>
        </w:rPr>
        <w:t xml:space="preserve"> </w:t>
      </w:r>
      <w:r w:rsidRPr="00AD733A">
        <w:rPr>
          <w:b/>
          <w:bCs/>
          <w:u w:val="single"/>
        </w:rPr>
        <w:t>PII)</w:t>
      </w:r>
    </w:p>
    <w:p w:rsidR="00261E68" w:rsidRPr="00AD733A" w:rsidRDefault="00261E68" w:rsidP="00CB7C04">
      <w:pPr>
        <w:pStyle w:val="BodyTextIndent2"/>
        <w:jc w:val="both"/>
        <w:rPr>
          <w:rFonts w:ascii="Times New Roman" w:hAnsi="Times New Roman"/>
        </w:rPr>
      </w:pPr>
      <w:r w:rsidRPr="00AD733A">
        <w:rPr>
          <w:rFonts w:ascii="Times New Roman" w:hAnsi="Times New Roman"/>
        </w:rPr>
        <w:t xml:space="preserve">MIOY program is general outpatient mental health counseling/therapy for youth under the aged 18 or younger.  SASS is a program that provides and/or arranges mental health and support services for any  youth aged 3-21 who are at risk of psychiatric hospitalization, who are psychiatrically hospitalized, are returning from a psychiatric hospital or residential treatment facility, and/or has a serious emotional disturbance still living in their home or community. </w:t>
      </w:r>
      <w:r w:rsidR="00977474" w:rsidRPr="00AD733A">
        <w:rPr>
          <w:rFonts w:ascii="Times New Roman" w:hAnsi="Times New Roman"/>
        </w:rPr>
        <w:t xml:space="preserve">IPS </w:t>
      </w:r>
      <w:r w:rsidRPr="00AD733A">
        <w:rPr>
          <w:rFonts w:ascii="Times New Roman" w:hAnsi="Times New Roman"/>
        </w:rPr>
        <w:t xml:space="preserve">&amp; PII programs plans, organizes, staffs, and administers community-based system of care that provides an array of critical, intensive therapeutic interventions </w:t>
      </w:r>
      <w:r w:rsidR="00686457" w:rsidRPr="00AD733A">
        <w:rPr>
          <w:rFonts w:ascii="Times New Roman" w:hAnsi="Times New Roman"/>
        </w:rPr>
        <w:t>and/or facilitation services to clients with</w:t>
      </w:r>
      <w:r w:rsidRPr="00AD733A">
        <w:rPr>
          <w:rFonts w:ascii="Times New Roman" w:hAnsi="Times New Roman"/>
        </w:rPr>
        <w:t xml:space="preserve"> emotiona</w:t>
      </w:r>
      <w:r w:rsidR="00686457" w:rsidRPr="00AD733A">
        <w:rPr>
          <w:rFonts w:ascii="Times New Roman" w:hAnsi="Times New Roman"/>
        </w:rPr>
        <w:t xml:space="preserve">lly and behaviorally disturbances </w:t>
      </w:r>
      <w:r w:rsidRPr="00AD733A">
        <w:rPr>
          <w:rFonts w:ascii="Times New Roman" w:hAnsi="Times New Roman"/>
        </w:rPr>
        <w:t xml:space="preserve">for </w:t>
      </w:r>
      <w:r w:rsidR="00686457" w:rsidRPr="00AD733A">
        <w:rPr>
          <w:rFonts w:ascii="Times New Roman" w:hAnsi="Times New Roman"/>
        </w:rPr>
        <w:t>which</w:t>
      </w:r>
      <w:r w:rsidRPr="00AD733A">
        <w:rPr>
          <w:rFonts w:ascii="Times New Roman" w:hAnsi="Times New Roman"/>
        </w:rPr>
        <w:t xml:space="preserve"> DCFS is legally responsible. </w:t>
      </w:r>
    </w:p>
    <w:p w:rsidR="00261E68" w:rsidRPr="00AD733A" w:rsidRDefault="00261E68" w:rsidP="00261E68">
      <w:pPr>
        <w:pStyle w:val="Heading5"/>
        <w:jc w:val="left"/>
        <w:rPr>
          <w:rFonts w:ascii="Times New Roman" w:hAnsi="Times New Roman" w:cs="Times New Roman"/>
          <w:b/>
          <w:color w:val="auto"/>
        </w:rPr>
      </w:pPr>
      <w:r w:rsidRPr="00AD733A">
        <w:rPr>
          <w:rFonts w:ascii="Times New Roman" w:hAnsi="Times New Roman" w:cs="Times New Roman"/>
          <w:b/>
          <w:color w:val="auto"/>
        </w:rPr>
        <w:t>DEVELOPMENTAL SERVICES DIVISION:</w:t>
      </w:r>
    </w:p>
    <w:p w:rsidR="00261E68" w:rsidRPr="00AD733A" w:rsidRDefault="00261E68" w:rsidP="00CD3357">
      <w:pPr>
        <w:pStyle w:val="BodyText"/>
        <w:spacing w:after="0"/>
        <w:rPr>
          <w:b/>
          <w:u w:val="single"/>
        </w:rPr>
      </w:pPr>
      <w:r w:rsidRPr="00AD733A">
        <w:rPr>
          <w:b/>
          <w:u w:val="single"/>
        </w:rPr>
        <w:t xml:space="preserve">Community Integrated Living Arrangement </w:t>
      </w:r>
      <w:r w:rsidR="00A54745" w:rsidRPr="00AD733A">
        <w:rPr>
          <w:b/>
          <w:u w:val="single"/>
        </w:rPr>
        <w:t>(DS</w:t>
      </w:r>
      <w:r w:rsidR="003E4C21" w:rsidRPr="00AD733A">
        <w:rPr>
          <w:b/>
          <w:u w:val="single"/>
        </w:rPr>
        <w:t xml:space="preserve"> </w:t>
      </w:r>
      <w:r w:rsidRPr="00AD733A">
        <w:rPr>
          <w:b/>
          <w:u w:val="single"/>
        </w:rPr>
        <w:t>CILA 60D, 60DI, 60DF) Adults</w:t>
      </w:r>
    </w:p>
    <w:p w:rsidR="00261E68" w:rsidRPr="00AD733A" w:rsidRDefault="00A54745" w:rsidP="00CB7C04">
      <w:pPr>
        <w:pStyle w:val="BodyTextIndent2"/>
        <w:jc w:val="both"/>
        <w:rPr>
          <w:rFonts w:ascii="Times New Roman" w:hAnsi="Times New Roman"/>
        </w:rPr>
      </w:pPr>
      <w:r w:rsidRPr="00AD733A">
        <w:rPr>
          <w:rFonts w:ascii="Times New Roman" w:hAnsi="Times New Roman"/>
        </w:rPr>
        <w:t>DS</w:t>
      </w:r>
      <w:r w:rsidR="00261E68" w:rsidRPr="00AD733A">
        <w:rPr>
          <w:rFonts w:ascii="Times New Roman" w:hAnsi="Times New Roman"/>
        </w:rPr>
        <w:t xml:space="preserve"> CILA provides </w:t>
      </w:r>
      <w:r w:rsidR="00686457" w:rsidRPr="00AD733A">
        <w:rPr>
          <w:rFonts w:ascii="Times New Roman" w:hAnsi="Times New Roman"/>
        </w:rPr>
        <w:t xml:space="preserve">24-hour supervised </w:t>
      </w:r>
      <w:r w:rsidR="00261E68" w:rsidRPr="00AD733A">
        <w:rPr>
          <w:rFonts w:ascii="Times New Roman" w:hAnsi="Times New Roman"/>
        </w:rPr>
        <w:t>flexible living arrangements that focus on the individual’s service needs over the age of 18 with an IQ below 70.</w:t>
      </w:r>
    </w:p>
    <w:p w:rsidR="00261E68" w:rsidRPr="00AD733A" w:rsidRDefault="00261E68" w:rsidP="00261E68">
      <w:pPr>
        <w:pStyle w:val="BodyTextIndent2"/>
        <w:rPr>
          <w:rFonts w:ascii="Times New Roman" w:hAnsi="Times New Roman"/>
        </w:rPr>
      </w:pPr>
    </w:p>
    <w:p w:rsidR="00261E68" w:rsidRPr="00AD733A" w:rsidRDefault="00261E68" w:rsidP="00261E68">
      <w:pPr>
        <w:rPr>
          <w:b/>
          <w:bCs/>
          <w:u w:val="single"/>
        </w:rPr>
      </w:pPr>
      <w:r w:rsidRPr="00AD733A">
        <w:rPr>
          <w:b/>
          <w:bCs/>
          <w:u w:val="single"/>
        </w:rPr>
        <w:t>Developmental Training (DT 31U, 310) Adults</w:t>
      </w:r>
    </w:p>
    <w:p w:rsidR="00261E68" w:rsidRPr="00AD733A" w:rsidRDefault="00261E68" w:rsidP="00CB7C04">
      <w:pPr>
        <w:pStyle w:val="BodyTextIndent2"/>
        <w:jc w:val="both"/>
        <w:rPr>
          <w:rFonts w:ascii="Times New Roman" w:hAnsi="Times New Roman"/>
        </w:rPr>
      </w:pPr>
      <w:r w:rsidRPr="00AD733A">
        <w:rPr>
          <w:rFonts w:ascii="Times New Roman" w:hAnsi="Times New Roman"/>
        </w:rPr>
        <w:t>DT program is skills training services to the intellectually disabled to improve or acquire new life skills in order to pursue the most independent lifestyle possible with the least amount of intervention.</w:t>
      </w:r>
      <w:r w:rsidR="00CD3357" w:rsidRPr="00AD733A">
        <w:rPr>
          <w:rFonts w:ascii="Times New Roman" w:hAnsi="Times New Roman"/>
        </w:rPr>
        <w:t xml:space="preserve"> Bogard monitoring program was added in April 2014.  This program is court mandated where the law ensures that clients </w:t>
      </w:r>
      <w:r w:rsidR="009775EB" w:rsidRPr="00AD733A">
        <w:rPr>
          <w:rFonts w:ascii="Times New Roman" w:hAnsi="Times New Roman"/>
        </w:rPr>
        <w:t>awarded Bogar</w:t>
      </w:r>
      <w:r w:rsidR="002805DA" w:rsidRPr="00AD733A">
        <w:rPr>
          <w:rFonts w:ascii="Times New Roman" w:hAnsi="Times New Roman"/>
        </w:rPr>
        <w:t>d</w:t>
      </w:r>
      <w:r w:rsidR="009775EB" w:rsidRPr="00AD733A">
        <w:rPr>
          <w:rFonts w:ascii="Times New Roman" w:hAnsi="Times New Roman"/>
        </w:rPr>
        <w:t xml:space="preserve"> status </w:t>
      </w:r>
      <w:r w:rsidR="00CD3357" w:rsidRPr="00AD733A">
        <w:rPr>
          <w:rFonts w:ascii="Times New Roman" w:hAnsi="Times New Roman"/>
        </w:rPr>
        <w:t>receive their deemed services</w:t>
      </w:r>
      <w:r w:rsidR="009775EB" w:rsidRPr="00AD733A">
        <w:rPr>
          <w:rFonts w:ascii="Times New Roman" w:hAnsi="Times New Roman"/>
        </w:rPr>
        <w:t xml:space="preserve"> in any environment that they live.</w:t>
      </w:r>
      <w:r w:rsidR="00CD3357" w:rsidRPr="00AD733A">
        <w:rPr>
          <w:rFonts w:ascii="Times New Roman" w:hAnsi="Times New Roman"/>
        </w:rPr>
        <w:t xml:space="preserve"> </w:t>
      </w:r>
    </w:p>
    <w:p w:rsidR="00261E68" w:rsidRPr="00AD733A" w:rsidRDefault="00261E68" w:rsidP="00261E68">
      <w:pPr>
        <w:pStyle w:val="BodyTextIndent2"/>
        <w:ind w:left="0"/>
        <w:jc w:val="center"/>
        <w:rPr>
          <w:rFonts w:ascii="Times New Roman" w:hAnsi="Times New Roman"/>
          <w:b/>
        </w:rPr>
      </w:pPr>
    </w:p>
    <w:p w:rsidR="00261E68" w:rsidRPr="00AD733A" w:rsidRDefault="00261E68" w:rsidP="00CD3357">
      <w:pPr>
        <w:pStyle w:val="BodyText"/>
        <w:spacing w:after="0"/>
        <w:rPr>
          <w:b/>
          <w:u w:val="single"/>
        </w:rPr>
      </w:pPr>
      <w:r w:rsidRPr="00AD733A">
        <w:rPr>
          <w:b/>
          <w:u w:val="single"/>
        </w:rPr>
        <w:t>Home Based Support Services (HBS) Adults &amp; Children</w:t>
      </w:r>
    </w:p>
    <w:p w:rsidR="00261E68" w:rsidRDefault="00261E68" w:rsidP="00CB7C04">
      <w:pPr>
        <w:pStyle w:val="BodyTextIndent2"/>
        <w:jc w:val="both"/>
        <w:rPr>
          <w:rFonts w:ascii="Times New Roman" w:hAnsi="Times New Roman"/>
        </w:rPr>
      </w:pPr>
      <w:r w:rsidRPr="00AD733A">
        <w:rPr>
          <w:rFonts w:ascii="Times New Roman" w:hAnsi="Times New Roman"/>
        </w:rPr>
        <w:t xml:space="preserve">HBS offers support services so an intellectually disabled individual can remain a part of the community and avoid institutionalization while being an important part of the family and local community.  </w:t>
      </w:r>
    </w:p>
    <w:p w:rsidR="00BD2E39" w:rsidRPr="00AD733A" w:rsidRDefault="00BD2E39" w:rsidP="00CB7C04">
      <w:pPr>
        <w:pStyle w:val="BodyTextIndent2"/>
        <w:jc w:val="both"/>
        <w:rPr>
          <w:rFonts w:ascii="Times New Roman" w:hAnsi="Times New Roman"/>
        </w:rPr>
      </w:pPr>
    </w:p>
    <w:p w:rsidR="006C77D0" w:rsidRDefault="00962509" w:rsidP="006C77D0">
      <w:pPr>
        <w:pStyle w:val="Heading5"/>
        <w:numPr>
          <w:ilvl w:val="0"/>
          <w:numId w:val="5"/>
        </w:numPr>
        <w:jc w:val="left"/>
        <w:rPr>
          <w:rFonts w:ascii="Times New Roman" w:hAnsi="Times New Roman" w:cs="Times New Roman"/>
          <w:b/>
          <w:color w:val="auto"/>
          <w:u w:val="single"/>
        </w:rPr>
      </w:pPr>
      <w:r w:rsidRPr="00AD733A">
        <w:rPr>
          <w:rFonts w:ascii="Times New Roman" w:hAnsi="Times New Roman" w:cs="Times New Roman"/>
          <w:b/>
          <w:color w:val="auto"/>
          <w:u w:val="single"/>
        </w:rPr>
        <w:lastRenderedPageBreak/>
        <w:t>A</w:t>
      </w:r>
      <w:r w:rsidR="006C77D0" w:rsidRPr="00AD733A">
        <w:rPr>
          <w:rFonts w:ascii="Times New Roman" w:hAnsi="Times New Roman" w:cs="Times New Roman"/>
          <w:b/>
          <w:color w:val="auto"/>
          <w:u w:val="single"/>
        </w:rPr>
        <w:t>BBREVIATION LIST</w:t>
      </w:r>
    </w:p>
    <w:p w:rsidR="00D21D5F" w:rsidRPr="00D21D5F" w:rsidRDefault="00D21D5F" w:rsidP="00D21D5F"/>
    <w:p w:rsidR="005A6E92" w:rsidRPr="00AD733A" w:rsidRDefault="005A6E92" w:rsidP="00D21D5F">
      <w:pPr>
        <w:jc w:val="left"/>
      </w:pPr>
      <w:r w:rsidRPr="00AD733A">
        <w:t>ADI</w:t>
      </w:r>
      <w:r w:rsidR="001111FE">
        <w:t xml:space="preserve"> – A</w:t>
      </w:r>
      <w:r w:rsidRPr="00AD733A">
        <w:t>bbreviated Dysregulation Inventory</w:t>
      </w:r>
      <w:r w:rsidR="0036705F" w:rsidRPr="00AD733A">
        <w:t xml:space="preserve"> </w:t>
      </w:r>
      <w:r w:rsidR="00D21D5F">
        <w:t xml:space="preserve"> </w:t>
      </w:r>
    </w:p>
    <w:p w:rsidR="00A54745" w:rsidRPr="00AD733A" w:rsidRDefault="00A54745" w:rsidP="00D21D5F">
      <w:pPr>
        <w:jc w:val="left"/>
      </w:pPr>
      <w:r w:rsidRPr="00AD733A">
        <w:t>ADP</w:t>
      </w:r>
      <w:r w:rsidR="001111FE">
        <w:t xml:space="preserve"> – A</w:t>
      </w:r>
      <w:r w:rsidRPr="00AD733A">
        <w:t>utomatic Data Processing</w:t>
      </w:r>
      <w:r w:rsidR="0036705F" w:rsidRPr="00AD733A">
        <w:t xml:space="preserve"> </w:t>
      </w:r>
      <w:r w:rsidR="00D21D5F">
        <w:tab/>
      </w:r>
      <w:r w:rsidR="00D21D5F">
        <w:tab/>
        <w:t xml:space="preserve"> </w:t>
      </w:r>
    </w:p>
    <w:p w:rsidR="0063204B" w:rsidRPr="00AD733A" w:rsidRDefault="0063204B" w:rsidP="00D21D5F">
      <w:pPr>
        <w:jc w:val="left"/>
      </w:pPr>
      <w:r w:rsidRPr="00AD733A">
        <w:t>ASA – Alcohol and Substance Abuse</w:t>
      </w:r>
      <w:r w:rsidR="0036705F" w:rsidRPr="00AD733A">
        <w:t xml:space="preserve"> </w:t>
      </w:r>
      <w:r w:rsidR="00D21D5F">
        <w:tab/>
        <w:t xml:space="preserve"> </w:t>
      </w:r>
    </w:p>
    <w:p w:rsidR="006022EB" w:rsidRPr="00AD733A" w:rsidRDefault="006022EB" w:rsidP="009B5067">
      <w:r w:rsidRPr="00AD733A">
        <w:t>BH</w:t>
      </w:r>
      <w:r w:rsidR="001111FE">
        <w:t xml:space="preserve"> – B</w:t>
      </w:r>
      <w:r w:rsidRPr="00AD733A">
        <w:t>ehavior</w:t>
      </w:r>
      <w:r w:rsidR="00020CAE" w:rsidRPr="00AD733A">
        <w:t>al</w:t>
      </w:r>
      <w:r w:rsidRPr="00AD733A">
        <w:t xml:space="preserve"> Health</w:t>
      </w:r>
      <w:r w:rsidR="0036705F" w:rsidRPr="00AD733A">
        <w:t xml:space="preserve"> </w:t>
      </w:r>
    </w:p>
    <w:p w:rsidR="00222E89" w:rsidRPr="00AD733A" w:rsidRDefault="00222E89" w:rsidP="009B5067">
      <w:r w:rsidRPr="00AD733A">
        <w:t>CAN</w:t>
      </w:r>
      <w:r w:rsidR="0005288E" w:rsidRPr="00AD733A">
        <w:t>S</w:t>
      </w:r>
      <w:r w:rsidR="001111FE">
        <w:t xml:space="preserve"> – C</w:t>
      </w:r>
      <w:r w:rsidR="0005288E" w:rsidRPr="00AD733A">
        <w:t>hild and Adolescent Needs and Strengths</w:t>
      </w:r>
    </w:p>
    <w:p w:rsidR="002E6C0A" w:rsidRPr="00AD733A" w:rsidRDefault="002E6C0A" w:rsidP="009B5067">
      <w:r w:rsidRPr="00AD733A">
        <w:t>CILA</w:t>
      </w:r>
      <w:r w:rsidR="001111FE">
        <w:t xml:space="preserve"> – C</w:t>
      </w:r>
      <w:r w:rsidRPr="00AD733A">
        <w:t>ommunity Integrated Living Arrangement</w:t>
      </w:r>
    </w:p>
    <w:p w:rsidR="00D2604B" w:rsidRPr="00AD733A" w:rsidRDefault="00D2604B" w:rsidP="009B5067">
      <w:r w:rsidRPr="00AD733A">
        <w:t>CRH</w:t>
      </w:r>
      <w:r w:rsidR="005A6E92" w:rsidRPr="00AD733A">
        <w:t xml:space="preserve"> </w:t>
      </w:r>
      <w:r w:rsidR="001111FE">
        <w:t>– C</w:t>
      </w:r>
      <w:r w:rsidRPr="00AD733A">
        <w:t>ache River House</w:t>
      </w:r>
    </w:p>
    <w:p w:rsidR="006022EB" w:rsidRPr="00AD733A" w:rsidRDefault="006022EB" w:rsidP="009B5067">
      <w:r w:rsidRPr="00AD733A">
        <w:t>CSR</w:t>
      </w:r>
      <w:r w:rsidR="005A6E92" w:rsidRPr="00AD733A">
        <w:t xml:space="preserve"> </w:t>
      </w:r>
      <w:r w:rsidR="001111FE">
        <w:t>– C</w:t>
      </w:r>
      <w:r w:rsidRPr="00AD733A">
        <w:t>ommunity Support</w:t>
      </w:r>
      <w:r w:rsidR="00A54745" w:rsidRPr="00AD733A">
        <w:t xml:space="preserve"> Residential </w:t>
      </w:r>
    </w:p>
    <w:p w:rsidR="00313777" w:rsidRPr="00AD733A" w:rsidRDefault="00313777" w:rsidP="009B5067">
      <w:r w:rsidRPr="00AD733A">
        <w:t>DASA – Division of Alcohol and Substance Abuse</w:t>
      </w:r>
    </w:p>
    <w:p w:rsidR="00795F4E" w:rsidRPr="00AD733A" w:rsidRDefault="00795F4E" w:rsidP="009B5067">
      <w:r w:rsidRPr="00AD733A">
        <w:t>DCFS</w:t>
      </w:r>
      <w:r w:rsidR="005A6E92" w:rsidRPr="00AD733A">
        <w:t xml:space="preserve"> </w:t>
      </w:r>
      <w:r w:rsidR="001111FE">
        <w:t>– D</w:t>
      </w:r>
      <w:r w:rsidRPr="00AD733A">
        <w:t>epartment of Child and Family Services</w:t>
      </w:r>
    </w:p>
    <w:p w:rsidR="00795F4E" w:rsidRPr="00AD733A" w:rsidRDefault="00795F4E" w:rsidP="009B5067">
      <w:r w:rsidRPr="00AD733A">
        <w:t>DMH</w:t>
      </w:r>
      <w:r w:rsidR="005A6E92" w:rsidRPr="00AD733A">
        <w:t xml:space="preserve"> </w:t>
      </w:r>
      <w:r w:rsidR="001111FE">
        <w:t>– D</w:t>
      </w:r>
      <w:r w:rsidR="00450B27" w:rsidRPr="00AD733A">
        <w:t>ivision</w:t>
      </w:r>
      <w:r w:rsidRPr="00AD733A">
        <w:t xml:space="preserve"> of Mental Health</w:t>
      </w:r>
    </w:p>
    <w:p w:rsidR="006022EB" w:rsidRPr="00AD733A" w:rsidRDefault="00977474" w:rsidP="009B5067">
      <w:r w:rsidRPr="00AD733A">
        <w:t xml:space="preserve">DS </w:t>
      </w:r>
      <w:r w:rsidR="001111FE">
        <w:t>– D</w:t>
      </w:r>
      <w:r w:rsidR="006022EB" w:rsidRPr="00AD733A">
        <w:t>evelopmental Services</w:t>
      </w:r>
    </w:p>
    <w:p w:rsidR="00471C07" w:rsidRPr="00AD733A" w:rsidRDefault="00471C07" w:rsidP="00795F4E">
      <w:r w:rsidRPr="00AD733A">
        <w:t>DT</w:t>
      </w:r>
      <w:r w:rsidR="001111FE">
        <w:t xml:space="preserve"> – D</w:t>
      </w:r>
      <w:r w:rsidRPr="00AD733A">
        <w:t>evelopmental Training</w:t>
      </w:r>
    </w:p>
    <w:p w:rsidR="003E4C21" w:rsidRPr="00AD733A" w:rsidRDefault="003E4C21" w:rsidP="00795F4E">
      <w:r w:rsidRPr="00AD733A">
        <w:t>EHR – Electronic Health Record (ClaimTrak)</w:t>
      </w:r>
    </w:p>
    <w:p w:rsidR="00D309B1" w:rsidRPr="00AD733A" w:rsidRDefault="00D71417" w:rsidP="00795F4E">
      <w:r w:rsidRPr="00AD733A">
        <w:t>FCCI</w:t>
      </w:r>
      <w:r w:rsidR="00D309B1" w:rsidRPr="00AD733A">
        <w:t xml:space="preserve"> </w:t>
      </w:r>
      <w:r w:rsidR="001111FE">
        <w:t>– F</w:t>
      </w:r>
      <w:r w:rsidR="00D309B1" w:rsidRPr="00AD733A">
        <w:t>amily Counseling Center, Inc.</w:t>
      </w:r>
    </w:p>
    <w:p w:rsidR="00795F4E" w:rsidRPr="00AD733A" w:rsidRDefault="00977474" w:rsidP="00795F4E">
      <w:r w:rsidRPr="00AD733A">
        <w:t xml:space="preserve">HBS </w:t>
      </w:r>
      <w:r w:rsidR="001111FE">
        <w:t>– H</w:t>
      </w:r>
      <w:r w:rsidR="00795F4E" w:rsidRPr="00AD733A">
        <w:t>ome Base Support</w:t>
      </w:r>
    </w:p>
    <w:p w:rsidR="00D2604B" w:rsidRPr="00AD733A" w:rsidRDefault="00D2604B" w:rsidP="009B5067">
      <w:r w:rsidRPr="00AD733A">
        <w:t>HTH</w:t>
      </w:r>
      <w:r w:rsidR="001111FE">
        <w:t xml:space="preserve"> – H</w:t>
      </w:r>
      <w:r w:rsidRPr="00AD733A">
        <w:t>illtop House</w:t>
      </w:r>
    </w:p>
    <w:p w:rsidR="00256FDC" w:rsidRPr="00AD733A" w:rsidRDefault="00256FDC" w:rsidP="009B5067">
      <w:r w:rsidRPr="00AD733A">
        <w:t xml:space="preserve">HY – Homeless Youth </w:t>
      </w:r>
    </w:p>
    <w:p w:rsidR="007B00DD" w:rsidRPr="00AD733A" w:rsidRDefault="007B00DD" w:rsidP="009B5067">
      <w:r w:rsidRPr="00AD733A">
        <w:t>ICAP</w:t>
      </w:r>
      <w:r w:rsidR="001111FE">
        <w:t xml:space="preserve"> – I</w:t>
      </w:r>
      <w:r w:rsidR="006022EB" w:rsidRPr="00AD733A">
        <w:t xml:space="preserve">ndividual </w:t>
      </w:r>
      <w:r w:rsidR="00D2604B" w:rsidRPr="00AD733A">
        <w:t>Client and Agency Planning</w:t>
      </w:r>
    </w:p>
    <w:p w:rsidR="00977474" w:rsidRPr="00AD733A" w:rsidRDefault="00977474" w:rsidP="009B5067">
      <w:r w:rsidRPr="00AD733A">
        <w:t xml:space="preserve">IPS </w:t>
      </w:r>
      <w:r w:rsidR="001111FE">
        <w:t>– I</w:t>
      </w:r>
      <w:r w:rsidRPr="00AD733A">
        <w:t>ntensive Placement Stabilization</w:t>
      </w:r>
    </w:p>
    <w:p w:rsidR="00D2604B" w:rsidRPr="00AD733A" w:rsidRDefault="00D2604B" w:rsidP="009B5067">
      <w:r w:rsidRPr="00AD733A">
        <w:t>ISP</w:t>
      </w:r>
      <w:r w:rsidR="00977474" w:rsidRPr="00AD733A">
        <w:t xml:space="preserve"> </w:t>
      </w:r>
      <w:r w:rsidR="001111FE">
        <w:t>– I</w:t>
      </w:r>
      <w:r w:rsidRPr="00AD733A">
        <w:t>ndividual Service Plan</w:t>
      </w:r>
    </w:p>
    <w:p w:rsidR="00A54745" w:rsidRPr="00AD733A" w:rsidRDefault="00A54745" w:rsidP="009B5067">
      <w:r w:rsidRPr="00AD733A">
        <w:t>MHA</w:t>
      </w:r>
      <w:r w:rsidR="001111FE">
        <w:t xml:space="preserve"> – M</w:t>
      </w:r>
      <w:r w:rsidRPr="00AD733A">
        <w:t>ental Health Assessment</w:t>
      </w:r>
    </w:p>
    <w:p w:rsidR="00A54745" w:rsidRPr="00AD733A" w:rsidRDefault="00A54745" w:rsidP="009B5067">
      <w:r w:rsidRPr="00AD733A">
        <w:t>MIOA</w:t>
      </w:r>
      <w:r w:rsidR="005A6E92" w:rsidRPr="00AD733A">
        <w:t xml:space="preserve"> </w:t>
      </w:r>
      <w:r w:rsidR="001111FE">
        <w:t>– M</w:t>
      </w:r>
      <w:r w:rsidRPr="00AD733A">
        <w:t>ental Illness Outpatient Adult</w:t>
      </w:r>
    </w:p>
    <w:p w:rsidR="00A54745" w:rsidRPr="00AD733A" w:rsidRDefault="00A54745" w:rsidP="009B5067">
      <w:r w:rsidRPr="00AD733A">
        <w:t>MIOY</w:t>
      </w:r>
      <w:r w:rsidR="005A6E92" w:rsidRPr="00AD733A">
        <w:t xml:space="preserve"> </w:t>
      </w:r>
      <w:r w:rsidR="001111FE">
        <w:t>– M</w:t>
      </w:r>
      <w:r w:rsidRPr="00AD733A">
        <w:t>ental Illness Outpatient Youth</w:t>
      </w:r>
    </w:p>
    <w:p w:rsidR="003E4C21" w:rsidRPr="00AD733A" w:rsidRDefault="003E4C21" w:rsidP="009B5067">
      <w:r w:rsidRPr="00AD733A">
        <w:t>MTL – Mahoney Transitional Living</w:t>
      </w:r>
    </w:p>
    <w:p w:rsidR="00D21D5F" w:rsidRDefault="00D2604B">
      <w:r w:rsidRPr="00AD733A">
        <w:t>ORH</w:t>
      </w:r>
      <w:r w:rsidR="005A6E92" w:rsidRPr="00AD733A">
        <w:t xml:space="preserve"> </w:t>
      </w:r>
      <w:r w:rsidR="001111FE">
        <w:t>– O</w:t>
      </w:r>
      <w:r w:rsidRPr="00AD733A">
        <w:t>hio Rive</w:t>
      </w:r>
      <w:r w:rsidR="00CA700A" w:rsidRPr="00AD733A">
        <w:t>r</w:t>
      </w:r>
      <w:r w:rsidRPr="00AD733A">
        <w:t xml:space="preserve"> House</w:t>
      </w:r>
    </w:p>
    <w:p w:rsidR="00BD2E39" w:rsidRDefault="00BD2E39">
      <w:r w:rsidRPr="00AD733A">
        <w:t xml:space="preserve">PII </w:t>
      </w:r>
      <w:r>
        <w:t>– P</w:t>
      </w:r>
      <w:r w:rsidRPr="00AD733A">
        <w:t>ermanency Innovations Initiative</w:t>
      </w:r>
    </w:p>
    <w:p w:rsidR="00BD2E39" w:rsidRDefault="00BD2E39">
      <w:r w:rsidRPr="00AD733A">
        <w:t xml:space="preserve">SMI </w:t>
      </w:r>
      <w:r>
        <w:t>– S</w:t>
      </w:r>
      <w:r w:rsidRPr="00AD733A">
        <w:t>erious Mental Illness</w:t>
      </w:r>
    </w:p>
    <w:p w:rsidR="00BD2E39" w:rsidRDefault="00BD2E39">
      <w:r w:rsidRPr="00AD733A">
        <w:t xml:space="preserve">SASS </w:t>
      </w:r>
      <w:r>
        <w:t>– S</w:t>
      </w:r>
      <w:r w:rsidRPr="00AD733A">
        <w:t xml:space="preserve">creening, Assessment </w:t>
      </w:r>
      <w:r>
        <w:t xml:space="preserve">&amp; </w:t>
      </w:r>
      <w:r w:rsidRPr="00AD733A">
        <w:t>Support Services</w:t>
      </w:r>
    </w:p>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BD2E39" w:rsidRDefault="00BD2E39"/>
    <w:p w:rsidR="00482774" w:rsidRDefault="00D21D5F">
      <w:pPr>
        <w:rPr>
          <w:sz w:val="20"/>
          <w:szCs w:val="20"/>
        </w:rPr>
      </w:pPr>
      <w:r w:rsidRPr="00D21D5F">
        <w:rPr>
          <w:sz w:val="20"/>
          <w:szCs w:val="20"/>
        </w:rPr>
        <w:t>P</w:t>
      </w:r>
      <w:r w:rsidR="00962509" w:rsidRPr="00D21D5F">
        <w:rPr>
          <w:sz w:val="20"/>
          <w:szCs w:val="20"/>
        </w:rPr>
        <w:t xml:space="preserve">lease note that a copy of all the statistical data used for this summary is available upon request. </w:t>
      </w:r>
    </w:p>
    <w:p w:rsidR="006C77D0" w:rsidRPr="00D21D5F" w:rsidRDefault="006C77D0">
      <w:pPr>
        <w:rPr>
          <w:sz w:val="20"/>
          <w:szCs w:val="20"/>
        </w:rPr>
      </w:pPr>
      <w:r w:rsidRPr="00D21D5F">
        <w:rPr>
          <w:sz w:val="20"/>
          <w:szCs w:val="20"/>
        </w:rPr>
        <w:t xml:space="preserve">Written and typed by Connie Duncan, </w:t>
      </w:r>
      <w:r w:rsidR="00CE1CC8" w:rsidRPr="00D21D5F">
        <w:rPr>
          <w:sz w:val="20"/>
          <w:szCs w:val="20"/>
        </w:rPr>
        <w:t>Project Admin</w:t>
      </w:r>
      <w:r w:rsidR="00F3749F" w:rsidRPr="00D21D5F">
        <w:rPr>
          <w:sz w:val="20"/>
          <w:szCs w:val="20"/>
        </w:rPr>
        <w:t>istrator on 11-22</w:t>
      </w:r>
      <w:r w:rsidR="00CE1CC8" w:rsidRPr="00D21D5F">
        <w:rPr>
          <w:sz w:val="20"/>
          <w:szCs w:val="20"/>
        </w:rPr>
        <w:t>-15</w:t>
      </w:r>
      <w:r w:rsidR="00F3749F" w:rsidRPr="00D21D5F">
        <w:rPr>
          <w:sz w:val="20"/>
          <w:szCs w:val="20"/>
        </w:rPr>
        <w:t>.</w:t>
      </w:r>
    </w:p>
    <w:sectPr w:rsidR="006C77D0" w:rsidRPr="00D21D5F" w:rsidSect="00026720">
      <w:footerReference w:type="default" r:id="rId13"/>
      <w:pgSz w:w="12240" w:h="15840"/>
      <w:pgMar w:top="1008"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39" w:rsidRDefault="00BD2E39" w:rsidP="009B5067">
      <w:r>
        <w:separator/>
      </w:r>
    </w:p>
  </w:endnote>
  <w:endnote w:type="continuationSeparator" w:id="0">
    <w:p w:rsidR="00BD2E39" w:rsidRDefault="00BD2E39" w:rsidP="009B50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45048"/>
      <w:docPartObj>
        <w:docPartGallery w:val="Page Numbers (Bottom of Page)"/>
        <w:docPartUnique/>
      </w:docPartObj>
    </w:sdtPr>
    <w:sdtContent>
      <w:p w:rsidR="00BD2E39" w:rsidRDefault="00F53DBC">
        <w:pPr>
          <w:pStyle w:val="Footer"/>
          <w:jc w:val="center"/>
        </w:pPr>
        <w:fldSimple w:instr=" PAGE   \* MERGEFORMAT ">
          <w:r w:rsidR="00937986">
            <w:rPr>
              <w:noProof/>
            </w:rPr>
            <w:t>10</w:t>
          </w:r>
        </w:fldSimple>
      </w:p>
    </w:sdtContent>
  </w:sdt>
  <w:p w:rsidR="00BD2E39" w:rsidRDefault="00BD2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39" w:rsidRDefault="00BD2E39" w:rsidP="009B5067">
      <w:r>
        <w:separator/>
      </w:r>
    </w:p>
  </w:footnote>
  <w:footnote w:type="continuationSeparator" w:id="0">
    <w:p w:rsidR="00BD2E39" w:rsidRDefault="00BD2E39" w:rsidP="009B5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38"/>
    <w:multiLevelType w:val="hybridMultilevel"/>
    <w:tmpl w:val="9D8A4A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EE05F2"/>
    <w:multiLevelType w:val="hybridMultilevel"/>
    <w:tmpl w:val="8A08D1BC"/>
    <w:lvl w:ilvl="0" w:tplc="4EC8AEB2">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A769B"/>
    <w:multiLevelType w:val="hybridMultilevel"/>
    <w:tmpl w:val="E07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1591D"/>
    <w:multiLevelType w:val="hybridMultilevel"/>
    <w:tmpl w:val="7FBA8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C41B8"/>
    <w:multiLevelType w:val="hybridMultilevel"/>
    <w:tmpl w:val="C5D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A4878"/>
    <w:multiLevelType w:val="hybridMultilevel"/>
    <w:tmpl w:val="DF7E9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2F752E2"/>
    <w:multiLevelType w:val="hybridMultilevel"/>
    <w:tmpl w:val="E4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C23E6"/>
    <w:multiLevelType w:val="hybridMultilevel"/>
    <w:tmpl w:val="DD0A4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97156"/>
    <w:multiLevelType w:val="hybridMultilevel"/>
    <w:tmpl w:val="DC1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A0B59"/>
    <w:multiLevelType w:val="hybridMultilevel"/>
    <w:tmpl w:val="E7DEC1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2C0637"/>
    <w:multiLevelType w:val="hybridMultilevel"/>
    <w:tmpl w:val="4B4AC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37B84"/>
    <w:multiLevelType w:val="hybridMultilevel"/>
    <w:tmpl w:val="8C6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027B9"/>
    <w:multiLevelType w:val="hybridMultilevel"/>
    <w:tmpl w:val="8BC8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75A57"/>
    <w:multiLevelType w:val="hybridMultilevel"/>
    <w:tmpl w:val="078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40F00"/>
    <w:multiLevelType w:val="hybridMultilevel"/>
    <w:tmpl w:val="F44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17031"/>
    <w:multiLevelType w:val="hybridMultilevel"/>
    <w:tmpl w:val="7A3A7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1126E"/>
    <w:multiLevelType w:val="hybridMultilevel"/>
    <w:tmpl w:val="CFD0E70C"/>
    <w:lvl w:ilvl="0" w:tplc="601EBCBA">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D95E73"/>
    <w:multiLevelType w:val="hybridMultilevel"/>
    <w:tmpl w:val="DA6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C03F9"/>
    <w:multiLevelType w:val="hybridMultilevel"/>
    <w:tmpl w:val="D0F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075DE"/>
    <w:multiLevelType w:val="hybridMultilevel"/>
    <w:tmpl w:val="7CE85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A33D9"/>
    <w:multiLevelType w:val="hybridMultilevel"/>
    <w:tmpl w:val="587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11B4D"/>
    <w:multiLevelType w:val="hybridMultilevel"/>
    <w:tmpl w:val="303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61B6E"/>
    <w:multiLevelType w:val="hybridMultilevel"/>
    <w:tmpl w:val="00C6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EB5885"/>
    <w:multiLevelType w:val="hybridMultilevel"/>
    <w:tmpl w:val="880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87A73"/>
    <w:multiLevelType w:val="hybridMultilevel"/>
    <w:tmpl w:val="F8FEC3B6"/>
    <w:lvl w:ilvl="0" w:tplc="51C4517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4"/>
  </w:num>
  <w:num w:numId="4">
    <w:abstractNumId w:val="3"/>
  </w:num>
  <w:num w:numId="5">
    <w:abstractNumId w:val="16"/>
  </w:num>
  <w:num w:numId="6">
    <w:abstractNumId w:val="21"/>
  </w:num>
  <w:num w:numId="7">
    <w:abstractNumId w:val="20"/>
  </w:num>
  <w:num w:numId="8">
    <w:abstractNumId w:val="23"/>
  </w:num>
  <w:num w:numId="9">
    <w:abstractNumId w:val="7"/>
  </w:num>
  <w:num w:numId="10">
    <w:abstractNumId w:val="10"/>
  </w:num>
  <w:num w:numId="11">
    <w:abstractNumId w:val="19"/>
  </w:num>
  <w:num w:numId="12">
    <w:abstractNumId w:val="15"/>
  </w:num>
  <w:num w:numId="13">
    <w:abstractNumId w:val="0"/>
  </w:num>
  <w:num w:numId="14">
    <w:abstractNumId w:val="5"/>
  </w:num>
  <w:num w:numId="15">
    <w:abstractNumId w:val="13"/>
  </w:num>
  <w:num w:numId="16">
    <w:abstractNumId w:val="8"/>
  </w:num>
  <w:num w:numId="17">
    <w:abstractNumId w:val="18"/>
  </w:num>
  <w:num w:numId="18">
    <w:abstractNumId w:val="12"/>
  </w:num>
  <w:num w:numId="19">
    <w:abstractNumId w:val="14"/>
  </w:num>
  <w:num w:numId="20">
    <w:abstractNumId w:val="6"/>
  </w:num>
  <w:num w:numId="21">
    <w:abstractNumId w:val="17"/>
  </w:num>
  <w:num w:numId="22">
    <w:abstractNumId w:val="2"/>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092718"/>
    <w:rsid w:val="00001229"/>
    <w:rsid w:val="0000281A"/>
    <w:rsid w:val="00017DCA"/>
    <w:rsid w:val="00020CAE"/>
    <w:rsid w:val="0002241F"/>
    <w:rsid w:val="000228AE"/>
    <w:rsid w:val="00026720"/>
    <w:rsid w:val="0003057B"/>
    <w:rsid w:val="00031B7A"/>
    <w:rsid w:val="00033D73"/>
    <w:rsid w:val="00037491"/>
    <w:rsid w:val="000403C1"/>
    <w:rsid w:val="000433B9"/>
    <w:rsid w:val="00050E6A"/>
    <w:rsid w:val="0005288E"/>
    <w:rsid w:val="00056107"/>
    <w:rsid w:val="00072D57"/>
    <w:rsid w:val="000752FA"/>
    <w:rsid w:val="000766ED"/>
    <w:rsid w:val="00081F5B"/>
    <w:rsid w:val="00085B9B"/>
    <w:rsid w:val="00092718"/>
    <w:rsid w:val="000A44F0"/>
    <w:rsid w:val="000B3201"/>
    <w:rsid w:val="000C436F"/>
    <w:rsid w:val="00100DC7"/>
    <w:rsid w:val="001111FE"/>
    <w:rsid w:val="0011225E"/>
    <w:rsid w:val="001143BB"/>
    <w:rsid w:val="001247B8"/>
    <w:rsid w:val="001324BB"/>
    <w:rsid w:val="001360D1"/>
    <w:rsid w:val="00140F50"/>
    <w:rsid w:val="00147EC4"/>
    <w:rsid w:val="001651EF"/>
    <w:rsid w:val="00165D72"/>
    <w:rsid w:val="0017337E"/>
    <w:rsid w:val="001737EA"/>
    <w:rsid w:val="00177922"/>
    <w:rsid w:val="00190574"/>
    <w:rsid w:val="00197030"/>
    <w:rsid w:val="001A5D6B"/>
    <w:rsid w:val="001B6235"/>
    <w:rsid w:val="001B66CB"/>
    <w:rsid w:val="001B7255"/>
    <w:rsid w:val="001C55AB"/>
    <w:rsid w:val="001D028D"/>
    <w:rsid w:val="001D5A9A"/>
    <w:rsid w:val="001E6620"/>
    <w:rsid w:val="001F253C"/>
    <w:rsid w:val="001F36F0"/>
    <w:rsid w:val="00202DA8"/>
    <w:rsid w:val="00204AD1"/>
    <w:rsid w:val="00222CB2"/>
    <w:rsid w:val="00222E89"/>
    <w:rsid w:val="002534BC"/>
    <w:rsid w:val="00256FDC"/>
    <w:rsid w:val="00260287"/>
    <w:rsid w:val="00261E68"/>
    <w:rsid w:val="00262BFC"/>
    <w:rsid w:val="00262FA0"/>
    <w:rsid w:val="0026382D"/>
    <w:rsid w:val="00266E82"/>
    <w:rsid w:val="002805DA"/>
    <w:rsid w:val="00280ED9"/>
    <w:rsid w:val="002B01FA"/>
    <w:rsid w:val="002C145E"/>
    <w:rsid w:val="002C63F1"/>
    <w:rsid w:val="002D3723"/>
    <w:rsid w:val="002E357C"/>
    <w:rsid w:val="002E65D2"/>
    <w:rsid w:val="002E6C0A"/>
    <w:rsid w:val="002E7069"/>
    <w:rsid w:val="002F5DA5"/>
    <w:rsid w:val="00302EF9"/>
    <w:rsid w:val="00313777"/>
    <w:rsid w:val="00315809"/>
    <w:rsid w:val="0033588D"/>
    <w:rsid w:val="00353557"/>
    <w:rsid w:val="0036705F"/>
    <w:rsid w:val="003755C0"/>
    <w:rsid w:val="00376232"/>
    <w:rsid w:val="00391550"/>
    <w:rsid w:val="003A3E82"/>
    <w:rsid w:val="003B2EF3"/>
    <w:rsid w:val="003B5820"/>
    <w:rsid w:val="003B5AC9"/>
    <w:rsid w:val="003C23FF"/>
    <w:rsid w:val="003D0F45"/>
    <w:rsid w:val="003D2A76"/>
    <w:rsid w:val="003D59A4"/>
    <w:rsid w:val="003E21ED"/>
    <w:rsid w:val="003E2271"/>
    <w:rsid w:val="003E23E9"/>
    <w:rsid w:val="003E3A3C"/>
    <w:rsid w:val="003E4C21"/>
    <w:rsid w:val="003F5415"/>
    <w:rsid w:val="00402F0E"/>
    <w:rsid w:val="00403628"/>
    <w:rsid w:val="00415EA2"/>
    <w:rsid w:val="00421C2B"/>
    <w:rsid w:val="00422B7B"/>
    <w:rsid w:val="004271F4"/>
    <w:rsid w:val="0042747D"/>
    <w:rsid w:val="00440CB8"/>
    <w:rsid w:val="00450B27"/>
    <w:rsid w:val="00454888"/>
    <w:rsid w:val="00463715"/>
    <w:rsid w:val="00465C44"/>
    <w:rsid w:val="00471C07"/>
    <w:rsid w:val="004814E8"/>
    <w:rsid w:val="00482774"/>
    <w:rsid w:val="0048523F"/>
    <w:rsid w:val="00487F29"/>
    <w:rsid w:val="00490E2B"/>
    <w:rsid w:val="00491504"/>
    <w:rsid w:val="004A07FF"/>
    <w:rsid w:val="004A2665"/>
    <w:rsid w:val="004A617D"/>
    <w:rsid w:val="004B4045"/>
    <w:rsid w:val="004D3B43"/>
    <w:rsid w:val="004E5FA3"/>
    <w:rsid w:val="004E773F"/>
    <w:rsid w:val="00500010"/>
    <w:rsid w:val="00501AFE"/>
    <w:rsid w:val="00514B50"/>
    <w:rsid w:val="00567DCB"/>
    <w:rsid w:val="00581DB4"/>
    <w:rsid w:val="005841FD"/>
    <w:rsid w:val="005878E4"/>
    <w:rsid w:val="005977EF"/>
    <w:rsid w:val="005A4420"/>
    <w:rsid w:val="005A4AC2"/>
    <w:rsid w:val="005A6E92"/>
    <w:rsid w:val="005B7740"/>
    <w:rsid w:val="005C34B8"/>
    <w:rsid w:val="005C6DFB"/>
    <w:rsid w:val="005D3AA1"/>
    <w:rsid w:val="005E4CB4"/>
    <w:rsid w:val="005E74DC"/>
    <w:rsid w:val="00601A94"/>
    <w:rsid w:val="006022EB"/>
    <w:rsid w:val="00604244"/>
    <w:rsid w:val="00605D3A"/>
    <w:rsid w:val="0060607C"/>
    <w:rsid w:val="006068E1"/>
    <w:rsid w:val="006108D3"/>
    <w:rsid w:val="006159F2"/>
    <w:rsid w:val="006178F3"/>
    <w:rsid w:val="0062038D"/>
    <w:rsid w:val="006213F7"/>
    <w:rsid w:val="0063204B"/>
    <w:rsid w:val="00642F55"/>
    <w:rsid w:val="00645EA7"/>
    <w:rsid w:val="006520A5"/>
    <w:rsid w:val="006611B2"/>
    <w:rsid w:val="00666A05"/>
    <w:rsid w:val="00672535"/>
    <w:rsid w:val="00686457"/>
    <w:rsid w:val="006C0748"/>
    <w:rsid w:val="006C3B85"/>
    <w:rsid w:val="006C7285"/>
    <w:rsid w:val="006C77D0"/>
    <w:rsid w:val="006D2028"/>
    <w:rsid w:val="006D6934"/>
    <w:rsid w:val="006E08F4"/>
    <w:rsid w:val="006E3907"/>
    <w:rsid w:val="006F1C7D"/>
    <w:rsid w:val="006F3372"/>
    <w:rsid w:val="00722D25"/>
    <w:rsid w:val="0073142A"/>
    <w:rsid w:val="00732D4C"/>
    <w:rsid w:val="00743DBF"/>
    <w:rsid w:val="0074487E"/>
    <w:rsid w:val="007459E9"/>
    <w:rsid w:val="00746A8E"/>
    <w:rsid w:val="00764D6E"/>
    <w:rsid w:val="00773222"/>
    <w:rsid w:val="007761DD"/>
    <w:rsid w:val="0078231C"/>
    <w:rsid w:val="007905CB"/>
    <w:rsid w:val="00795F4E"/>
    <w:rsid w:val="007B00DD"/>
    <w:rsid w:val="007C1CB2"/>
    <w:rsid w:val="007C3879"/>
    <w:rsid w:val="007C642D"/>
    <w:rsid w:val="007C6C2F"/>
    <w:rsid w:val="00801662"/>
    <w:rsid w:val="00803EAC"/>
    <w:rsid w:val="0082056F"/>
    <w:rsid w:val="008303C8"/>
    <w:rsid w:val="0083265D"/>
    <w:rsid w:val="00851224"/>
    <w:rsid w:val="00852727"/>
    <w:rsid w:val="00860A54"/>
    <w:rsid w:val="008647D4"/>
    <w:rsid w:val="00877AB9"/>
    <w:rsid w:val="00892DAA"/>
    <w:rsid w:val="008C3295"/>
    <w:rsid w:val="008E7C8F"/>
    <w:rsid w:val="008F6E41"/>
    <w:rsid w:val="00904552"/>
    <w:rsid w:val="009158C6"/>
    <w:rsid w:val="00916BE0"/>
    <w:rsid w:val="00917C98"/>
    <w:rsid w:val="00923AA0"/>
    <w:rsid w:val="009250EA"/>
    <w:rsid w:val="00926E14"/>
    <w:rsid w:val="009320FA"/>
    <w:rsid w:val="009329E5"/>
    <w:rsid w:val="009370F3"/>
    <w:rsid w:val="00937986"/>
    <w:rsid w:val="0095058B"/>
    <w:rsid w:val="00962509"/>
    <w:rsid w:val="00971CF7"/>
    <w:rsid w:val="00973354"/>
    <w:rsid w:val="00977474"/>
    <w:rsid w:val="009775EB"/>
    <w:rsid w:val="00987596"/>
    <w:rsid w:val="00990CDF"/>
    <w:rsid w:val="0099278A"/>
    <w:rsid w:val="00993537"/>
    <w:rsid w:val="00997A18"/>
    <w:rsid w:val="009A0149"/>
    <w:rsid w:val="009A48E4"/>
    <w:rsid w:val="009B0830"/>
    <w:rsid w:val="009B5067"/>
    <w:rsid w:val="009D02E1"/>
    <w:rsid w:val="009D4958"/>
    <w:rsid w:val="009E1227"/>
    <w:rsid w:val="00A03B3C"/>
    <w:rsid w:val="00A04EC3"/>
    <w:rsid w:val="00A17CF6"/>
    <w:rsid w:val="00A54745"/>
    <w:rsid w:val="00A64E1C"/>
    <w:rsid w:val="00A655CD"/>
    <w:rsid w:val="00A9283E"/>
    <w:rsid w:val="00A977FA"/>
    <w:rsid w:val="00AB5E5B"/>
    <w:rsid w:val="00AC3123"/>
    <w:rsid w:val="00AC7B74"/>
    <w:rsid w:val="00AD10A8"/>
    <w:rsid w:val="00AD6B72"/>
    <w:rsid w:val="00AD733A"/>
    <w:rsid w:val="00AE5C51"/>
    <w:rsid w:val="00AE7CA2"/>
    <w:rsid w:val="00B024B4"/>
    <w:rsid w:val="00B23F34"/>
    <w:rsid w:val="00B345FF"/>
    <w:rsid w:val="00B34B1C"/>
    <w:rsid w:val="00B57085"/>
    <w:rsid w:val="00B73025"/>
    <w:rsid w:val="00B854A6"/>
    <w:rsid w:val="00B86B3E"/>
    <w:rsid w:val="00B92F18"/>
    <w:rsid w:val="00BB1A84"/>
    <w:rsid w:val="00BD2E39"/>
    <w:rsid w:val="00BD577A"/>
    <w:rsid w:val="00BF10F7"/>
    <w:rsid w:val="00C04324"/>
    <w:rsid w:val="00C1156D"/>
    <w:rsid w:val="00C11DF6"/>
    <w:rsid w:val="00C20FA2"/>
    <w:rsid w:val="00C24921"/>
    <w:rsid w:val="00C30D6F"/>
    <w:rsid w:val="00C577E1"/>
    <w:rsid w:val="00C62D8D"/>
    <w:rsid w:val="00C66348"/>
    <w:rsid w:val="00C7259A"/>
    <w:rsid w:val="00C74978"/>
    <w:rsid w:val="00CA315A"/>
    <w:rsid w:val="00CA700A"/>
    <w:rsid w:val="00CB2311"/>
    <w:rsid w:val="00CB32AC"/>
    <w:rsid w:val="00CB77D1"/>
    <w:rsid w:val="00CB7C04"/>
    <w:rsid w:val="00CC081A"/>
    <w:rsid w:val="00CC332A"/>
    <w:rsid w:val="00CD3357"/>
    <w:rsid w:val="00CE1CC8"/>
    <w:rsid w:val="00CE4C45"/>
    <w:rsid w:val="00CE5AFD"/>
    <w:rsid w:val="00CF6B83"/>
    <w:rsid w:val="00D21D5F"/>
    <w:rsid w:val="00D2604B"/>
    <w:rsid w:val="00D309B1"/>
    <w:rsid w:val="00D36FBE"/>
    <w:rsid w:val="00D40FBE"/>
    <w:rsid w:val="00D55131"/>
    <w:rsid w:val="00D553DB"/>
    <w:rsid w:val="00D613E4"/>
    <w:rsid w:val="00D625BB"/>
    <w:rsid w:val="00D62F4D"/>
    <w:rsid w:val="00D6391D"/>
    <w:rsid w:val="00D65AE0"/>
    <w:rsid w:val="00D67DE4"/>
    <w:rsid w:val="00D71417"/>
    <w:rsid w:val="00D71A06"/>
    <w:rsid w:val="00D73C0B"/>
    <w:rsid w:val="00D77621"/>
    <w:rsid w:val="00D82D57"/>
    <w:rsid w:val="00DB5228"/>
    <w:rsid w:val="00DB5F4F"/>
    <w:rsid w:val="00DD09CE"/>
    <w:rsid w:val="00DF3A02"/>
    <w:rsid w:val="00E04463"/>
    <w:rsid w:val="00E06C6E"/>
    <w:rsid w:val="00E21223"/>
    <w:rsid w:val="00E24B59"/>
    <w:rsid w:val="00E31117"/>
    <w:rsid w:val="00E333D9"/>
    <w:rsid w:val="00E33AAC"/>
    <w:rsid w:val="00E45F4F"/>
    <w:rsid w:val="00E61609"/>
    <w:rsid w:val="00E65325"/>
    <w:rsid w:val="00E849A3"/>
    <w:rsid w:val="00E85623"/>
    <w:rsid w:val="00E86A21"/>
    <w:rsid w:val="00E86AC5"/>
    <w:rsid w:val="00E971B1"/>
    <w:rsid w:val="00EA5BB3"/>
    <w:rsid w:val="00EA7399"/>
    <w:rsid w:val="00EB361A"/>
    <w:rsid w:val="00EB607F"/>
    <w:rsid w:val="00EC01E2"/>
    <w:rsid w:val="00ED3288"/>
    <w:rsid w:val="00ED36F7"/>
    <w:rsid w:val="00ED3EBE"/>
    <w:rsid w:val="00EE76B2"/>
    <w:rsid w:val="00EF0D72"/>
    <w:rsid w:val="00F207D4"/>
    <w:rsid w:val="00F252FA"/>
    <w:rsid w:val="00F311C1"/>
    <w:rsid w:val="00F3351E"/>
    <w:rsid w:val="00F34801"/>
    <w:rsid w:val="00F3749F"/>
    <w:rsid w:val="00F53DBC"/>
    <w:rsid w:val="00F74039"/>
    <w:rsid w:val="00F75441"/>
    <w:rsid w:val="00F8050C"/>
    <w:rsid w:val="00F81C35"/>
    <w:rsid w:val="00F9121E"/>
    <w:rsid w:val="00F93ADB"/>
    <w:rsid w:val="00F95A18"/>
    <w:rsid w:val="00FB39C0"/>
    <w:rsid w:val="00FC03E2"/>
    <w:rsid w:val="00FC2210"/>
    <w:rsid w:val="00FC51F8"/>
    <w:rsid w:val="00FD0BDA"/>
    <w:rsid w:val="00FE453F"/>
    <w:rsid w:val="00FF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67"/>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718"/>
    <w:pPr>
      <w:keepNext/>
      <w:jc w:val="center"/>
      <w:outlineLvl w:val="0"/>
    </w:pPr>
    <w:rPr>
      <w:sz w:val="36"/>
    </w:rPr>
  </w:style>
  <w:style w:type="paragraph" w:styleId="Heading2">
    <w:name w:val="heading 2"/>
    <w:basedOn w:val="Normal"/>
    <w:next w:val="Normal"/>
    <w:link w:val="Heading2Char"/>
    <w:uiPriority w:val="9"/>
    <w:semiHidden/>
    <w:unhideWhenUsed/>
    <w:qFormat/>
    <w:rsid w:val="00FF1E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03B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718"/>
    <w:rPr>
      <w:rFonts w:ascii="Times New Roman" w:eastAsia="Times New Roman" w:hAnsi="Times New Roman" w:cs="Times New Roman"/>
      <w:sz w:val="36"/>
      <w:szCs w:val="24"/>
    </w:rPr>
  </w:style>
  <w:style w:type="character" w:styleId="Hyperlink">
    <w:name w:val="Hyperlink"/>
    <w:rsid w:val="00092718"/>
  </w:style>
  <w:style w:type="paragraph" w:styleId="BlockText">
    <w:name w:val="Block Text"/>
    <w:basedOn w:val="Normal"/>
    <w:rsid w:val="00092718"/>
    <w:pPr>
      <w:tabs>
        <w:tab w:val="left" w:pos="-720"/>
      </w:tabs>
      <w:ind w:left="-720" w:right="-900"/>
    </w:pPr>
    <w:rPr>
      <w:color w:val="000000"/>
    </w:rPr>
  </w:style>
  <w:style w:type="paragraph" w:styleId="ListParagraph">
    <w:name w:val="List Paragraph"/>
    <w:basedOn w:val="Normal"/>
    <w:uiPriority w:val="34"/>
    <w:qFormat/>
    <w:rsid w:val="00092718"/>
    <w:pPr>
      <w:ind w:left="720"/>
      <w:contextualSpacing/>
    </w:pPr>
  </w:style>
  <w:style w:type="character" w:customStyle="1" w:styleId="Heading2Char">
    <w:name w:val="Heading 2 Char"/>
    <w:basedOn w:val="DefaultParagraphFont"/>
    <w:link w:val="Heading2"/>
    <w:uiPriority w:val="9"/>
    <w:semiHidden/>
    <w:rsid w:val="00FF1EA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7491"/>
    <w:rPr>
      <w:rFonts w:ascii="Tahoma" w:hAnsi="Tahoma" w:cs="Tahoma"/>
      <w:sz w:val="16"/>
      <w:szCs w:val="16"/>
    </w:rPr>
  </w:style>
  <w:style w:type="character" w:customStyle="1" w:styleId="BalloonTextChar">
    <w:name w:val="Balloon Text Char"/>
    <w:basedOn w:val="DefaultParagraphFont"/>
    <w:link w:val="BalloonText"/>
    <w:uiPriority w:val="99"/>
    <w:semiHidden/>
    <w:rsid w:val="00037491"/>
    <w:rPr>
      <w:rFonts w:ascii="Tahoma" w:eastAsia="Times New Roman" w:hAnsi="Tahoma" w:cs="Tahoma"/>
      <w:sz w:val="16"/>
      <w:szCs w:val="16"/>
    </w:rPr>
  </w:style>
  <w:style w:type="paragraph" w:styleId="BodyTextIndent2">
    <w:name w:val="Body Text Indent 2"/>
    <w:basedOn w:val="Normal"/>
    <w:link w:val="BodyTextIndent2Char"/>
    <w:semiHidden/>
    <w:rsid w:val="00A03B3C"/>
    <w:pPr>
      <w:ind w:left="720"/>
      <w:jc w:val="left"/>
    </w:pPr>
    <w:rPr>
      <w:rFonts w:ascii="Century Gothic" w:hAnsi="Century Gothic"/>
    </w:rPr>
  </w:style>
  <w:style w:type="character" w:customStyle="1" w:styleId="BodyTextIndent2Char">
    <w:name w:val="Body Text Indent 2 Char"/>
    <w:basedOn w:val="DefaultParagraphFont"/>
    <w:link w:val="BodyTextIndent2"/>
    <w:semiHidden/>
    <w:rsid w:val="00A03B3C"/>
    <w:rPr>
      <w:rFonts w:ascii="Century Gothic" w:eastAsia="Times New Roman" w:hAnsi="Century Gothic" w:cs="Times New Roman"/>
      <w:sz w:val="24"/>
      <w:szCs w:val="24"/>
    </w:rPr>
  </w:style>
  <w:style w:type="character" w:customStyle="1" w:styleId="Heading5Char">
    <w:name w:val="Heading 5 Char"/>
    <w:basedOn w:val="DefaultParagraphFont"/>
    <w:link w:val="Heading5"/>
    <w:uiPriority w:val="9"/>
    <w:rsid w:val="00A03B3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A03B3C"/>
    <w:pPr>
      <w:spacing w:after="120"/>
    </w:pPr>
  </w:style>
  <w:style w:type="character" w:customStyle="1" w:styleId="BodyTextChar">
    <w:name w:val="Body Text Char"/>
    <w:basedOn w:val="DefaultParagraphFont"/>
    <w:link w:val="BodyText"/>
    <w:uiPriority w:val="99"/>
    <w:rsid w:val="00A03B3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B5067"/>
    <w:pPr>
      <w:tabs>
        <w:tab w:val="center" w:pos="4680"/>
        <w:tab w:val="right" w:pos="9360"/>
      </w:tabs>
    </w:pPr>
  </w:style>
  <w:style w:type="character" w:customStyle="1" w:styleId="HeaderChar">
    <w:name w:val="Header Char"/>
    <w:basedOn w:val="DefaultParagraphFont"/>
    <w:link w:val="Header"/>
    <w:uiPriority w:val="99"/>
    <w:semiHidden/>
    <w:rsid w:val="009B5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5067"/>
    <w:pPr>
      <w:tabs>
        <w:tab w:val="center" w:pos="4680"/>
        <w:tab w:val="right" w:pos="9360"/>
      </w:tabs>
    </w:pPr>
  </w:style>
  <w:style w:type="character" w:customStyle="1" w:styleId="FooterChar">
    <w:name w:val="Footer Char"/>
    <w:basedOn w:val="DefaultParagraphFont"/>
    <w:link w:val="Footer"/>
    <w:uiPriority w:val="99"/>
    <w:rsid w:val="009B5067"/>
    <w:rPr>
      <w:rFonts w:ascii="Times New Roman" w:eastAsia="Times New Roman" w:hAnsi="Times New Roman" w:cs="Times New Roman"/>
      <w:sz w:val="24"/>
      <w:szCs w:val="24"/>
    </w:rPr>
  </w:style>
  <w:style w:type="character" w:customStyle="1" w:styleId="st1">
    <w:name w:val="st1"/>
    <w:basedOn w:val="DefaultParagraphFont"/>
    <w:rsid w:val="007C1CB2"/>
  </w:style>
  <w:style w:type="paragraph" w:styleId="Caption">
    <w:name w:val="caption"/>
    <w:basedOn w:val="Normal"/>
    <w:next w:val="Normal"/>
    <w:uiPriority w:val="35"/>
    <w:unhideWhenUsed/>
    <w:qFormat/>
    <w:rsid w:val="006C0748"/>
    <w:pPr>
      <w:spacing w:after="200"/>
    </w:pPr>
    <w:rPr>
      <w:b/>
      <w:bCs/>
      <w:color w:val="4F81BD" w:themeColor="accent1"/>
      <w:sz w:val="18"/>
      <w:szCs w:val="18"/>
    </w:rPr>
  </w:style>
  <w:style w:type="paragraph" w:customStyle="1" w:styleId="msoorganizationname2">
    <w:name w:val="msoorganizationname2"/>
    <w:rsid w:val="006D6934"/>
    <w:pPr>
      <w:spacing w:after="0" w:line="240" w:lineRule="auto"/>
    </w:pPr>
    <w:rPr>
      <w:rFonts w:ascii="Verdana" w:eastAsia="Times New Roman" w:hAnsi="Verdana" w:cs="Times New Roman"/>
      <w:b/>
      <w:bCs/>
      <w:color w:val="000000"/>
      <w:kern w:val="28"/>
      <w:sz w:val="24"/>
      <w:szCs w:val="24"/>
    </w:rPr>
  </w:style>
</w:styles>
</file>

<file path=word/webSettings.xml><?xml version="1.0" encoding="utf-8"?>
<w:webSettings xmlns:r="http://schemas.openxmlformats.org/officeDocument/2006/relationships" xmlns:w="http://schemas.openxmlformats.org/wordprocessingml/2006/main">
  <w:divs>
    <w:div w:id="215360332">
      <w:bodyDiv w:val="1"/>
      <w:marLeft w:val="0"/>
      <w:marRight w:val="0"/>
      <w:marTop w:val="0"/>
      <w:marBottom w:val="0"/>
      <w:divBdr>
        <w:top w:val="none" w:sz="0" w:space="0" w:color="auto"/>
        <w:left w:val="none" w:sz="0" w:space="0" w:color="auto"/>
        <w:bottom w:val="none" w:sz="0" w:space="0" w:color="auto"/>
        <w:right w:val="none" w:sz="0" w:space="0" w:color="auto"/>
      </w:divBdr>
    </w:div>
    <w:div w:id="1548252417">
      <w:bodyDiv w:val="1"/>
      <w:marLeft w:val="0"/>
      <w:marRight w:val="0"/>
      <w:marTop w:val="0"/>
      <w:marBottom w:val="0"/>
      <w:divBdr>
        <w:top w:val="none" w:sz="0" w:space="0" w:color="auto"/>
        <w:left w:val="none" w:sz="0" w:space="0" w:color="auto"/>
        <w:bottom w:val="none" w:sz="0" w:space="0" w:color="auto"/>
        <w:right w:val="none" w:sz="0" w:space="0" w:color="auto"/>
      </w:divBdr>
    </w:div>
    <w:div w:id="20875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FCC\CORE%20PROGRAMS%202015xls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CINC\Users\Redirects\Connie.Duncan\My%20Documents\Mgt%20Reports-%20Graphs\CORE%20PROGRAMS%202015xls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CINC\Users\Redirects\Connie.Duncan\My%20Documents\Mgt%20Reports-%20Graphs\CORE%20PROGRAMS%202015xlsx.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CCINC\Users\Redirects\Connie.Duncan\My%20Documents\Mgt%20Reports-%20Graphs\CORE%20PROGRAMS%202015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SERVED</a:t>
            </a:r>
            <a:r>
              <a:rPr lang="en-US" baseline="0"/>
              <a:t> BY COUNTY</a:t>
            </a:r>
            <a:endParaRPr lang="en-US"/>
          </a:p>
        </c:rich>
      </c:tx>
      <c:layout/>
    </c:title>
    <c:view3D>
      <c:rotX val="30"/>
      <c:perspective val="30"/>
    </c:view3D>
    <c:plotArea>
      <c:layout/>
      <c:pie3DChart>
        <c:varyColors val="1"/>
        <c:ser>
          <c:idx val="0"/>
          <c:order val="0"/>
          <c:explosion val="25"/>
          <c:dLbls>
            <c:dLbl>
              <c:idx val="1"/>
              <c:layout/>
              <c:tx>
                <c:rich>
                  <a:bodyPr/>
                  <a:lstStyle/>
                  <a:p>
                    <a:r>
                      <a:rPr lang="en-US"/>
                      <a:t>Alexander
7%</a:t>
                    </a:r>
                  </a:p>
                </c:rich>
              </c:tx>
              <c:showCatName val="1"/>
              <c:showPercent val="1"/>
            </c:dLbl>
            <c:dLbl>
              <c:idx val="2"/>
              <c:layout/>
              <c:tx>
                <c:rich>
                  <a:bodyPr/>
                  <a:lstStyle/>
                  <a:p>
                    <a:r>
                      <a:rPr lang="en-US"/>
                      <a:t>Hardin 
17%</a:t>
                    </a:r>
                  </a:p>
                </c:rich>
              </c:tx>
              <c:showCatName val="1"/>
              <c:showPercent val="1"/>
            </c:dLbl>
            <c:dLbl>
              <c:idx val="3"/>
              <c:layout/>
              <c:tx>
                <c:rich>
                  <a:bodyPr/>
                  <a:lstStyle/>
                  <a:p>
                    <a:r>
                      <a:rPr lang="en-US"/>
                      <a:t>Johnson
34%</a:t>
                    </a:r>
                  </a:p>
                </c:rich>
              </c:tx>
              <c:showCatName val="1"/>
              <c:showPercent val="1"/>
            </c:dLbl>
            <c:dLbl>
              <c:idx val="7"/>
              <c:layout/>
              <c:tx>
                <c:rich>
                  <a:bodyPr/>
                  <a:lstStyle/>
                  <a:p>
                    <a:r>
                      <a:rPr lang="en-US"/>
                      <a:t>Pulaski 
4%</a:t>
                    </a:r>
                  </a:p>
                </c:rich>
              </c:tx>
              <c:showCatName val="1"/>
              <c:showPercent val="1"/>
            </c:dLbl>
            <c:showCatName val="1"/>
            <c:showPercent val="1"/>
            <c:showLeaderLines val="1"/>
          </c:dLbls>
          <c:cat>
            <c:strRef>
              <c:f>Sheet1!$A$183:$A$191</c:f>
              <c:strCache>
                <c:ptCount val="9"/>
                <c:pt idx="0">
                  <c:v>Served by County</c:v>
                </c:pt>
                <c:pt idx="1">
                  <c:v>Alexander</c:v>
                </c:pt>
                <c:pt idx="2">
                  <c:v>Hardin </c:v>
                </c:pt>
                <c:pt idx="3">
                  <c:v>Johnson</c:v>
                </c:pt>
                <c:pt idx="4">
                  <c:v>Massac</c:v>
                </c:pt>
                <c:pt idx="5">
                  <c:v>Other </c:v>
                </c:pt>
                <c:pt idx="6">
                  <c:v>Pope </c:v>
                </c:pt>
                <c:pt idx="7">
                  <c:v>Pulaski </c:v>
                </c:pt>
                <c:pt idx="8">
                  <c:v>Union</c:v>
                </c:pt>
              </c:strCache>
            </c:strRef>
          </c:cat>
          <c:val>
            <c:numRef>
              <c:f>Sheet1!$B$183:$B$191</c:f>
              <c:numCache>
                <c:formatCode>General</c:formatCode>
                <c:ptCount val="9"/>
                <c:pt idx="1">
                  <c:v>104</c:v>
                </c:pt>
                <c:pt idx="2">
                  <c:v>211</c:v>
                </c:pt>
                <c:pt idx="3">
                  <c:v>440</c:v>
                </c:pt>
                <c:pt idx="4">
                  <c:v>161</c:v>
                </c:pt>
                <c:pt idx="5">
                  <c:v>85</c:v>
                </c:pt>
                <c:pt idx="6">
                  <c:v>131</c:v>
                </c:pt>
                <c:pt idx="7">
                  <c:v>69</c:v>
                </c:pt>
                <c:pt idx="8">
                  <c:v>121</c:v>
                </c:pt>
              </c:numCache>
            </c:numRef>
          </c:val>
        </c:ser>
        <c:dLbls>
          <c:showCatName val="1"/>
          <c:showPercent val="1"/>
        </c:dLbls>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PAYEE</a:t>
            </a:r>
            <a:r>
              <a:rPr lang="en-US" baseline="0"/>
              <a:t> TYPES # CLIENTS</a:t>
            </a:r>
            <a:endParaRPr lang="en-US"/>
          </a:p>
        </c:rich>
      </c:tx>
      <c:layout/>
    </c:title>
    <c:view3D>
      <c:rAngAx val="1"/>
    </c:view3D>
    <c:plotArea>
      <c:layout/>
      <c:bar3DChart>
        <c:barDir val="bar"/>
        <c:grouping val="clustered"/>
        <c:ser>
          <c:idx val="0"/>
          <c:order val="0"/>
          <c:tx>
            <c:strRef>
              <c:f>Sheet1!$B$74:$B$75</c:f>
              <c:strCache>
                <c:ptCount val="1"/>
                <c:pt idx="0">
                  <c:v> PAYEE TYPES # CLIENTS 2015</c:v>
                </c:pt>
              </c:strCache>
            </c:strRef>
          </c:tx>
          <c:cat>
            <c:strRef>
              <c:f>Sheet1!$A$76:$A$88</c:f>
              <c:strCache>
                <c:ptCount val="13"/>
                <c:pt idx="0">
                  <c:v>Medicaid - DMH  244</c:v>
                </c:pt>
                <c:pt idx="1">
                  <c:v>Private Pay  115</c:v>
                </c:pt>
                <c:pt idx="2">
                  <c:v>Medicaid - SASS  112</c:v>
                </c:pt>
                <c:pt idx="3">
                  <c:v>Medicaid - DD</c:v>
                </c:pt>
                <c:pt idx="4">
                  <c:v>Medicare/Medicaid</c:v>
                </c:pt>
                <c:pt idx="5">
                  <c:v>Medicaid - OASA</c:v>
                </c:pt>
                <c:pt idx="6">
                  <c:v>Grants  </c:v>
                </c:pt>
                <c:pt idx="7">
                  <c:v>Insurance</c:v>
                </c:pt>
                <c:pt idx="8">
                  <c:v>Other </c:v>
                </c:pt>
                <c:pt idx="9">
                  <c:v>TPL / Ins Medicaid</c:v>
                </c:pt>
                <c:pt idx="10">
                  <c:v>Medicare Only</c:v>
                </c:pt>
                <c:pt idx="11">
                  <c:v>Medicare  / Insurance</c:v>
                </c:pt>
                <c:pt idx="12">
                  <c:v>Managed Care </c:v>
                </c:pt>
              </c:strCache>
            </c:strRef>
          </c:cat>
          <c:val>
            <c:numRef>
              <c:f>Sheet1!$B$76:$B$88</c:f>
              <c:numCache>
                <c:formatCode>General</c:formatCode>
                <c:ptCount val="13"/>
                <c:pt idx="0">
                  <c:v>402</c:v>
                </c:pt>
                <c:pt idx="1">
                  <c:v>96</c:v>
                </c:pt>
                <c:pt idx="2">
                  <c:v>140</c:v>
                </c:pt>
                <c:pt idx="3">
                  <c:v>104</c:v>
                </c:pt>
                <c:pt idx="4">
                  <c:v>76</c:v>
                </c:pt>
                <c:pt idx="5">
                  <c:v>62</c:v>
                </c:pt>
                <c:pt idx="6">
                  <c:v>59</c:v>
                </c:pt>
                <c:pt idx="7">
                  <c:v>25</c:v>
                </c:pt>
                <c:pt idx="8">
                  <c:v>15</c:v>
                </c:pt>
                <c:pt idx="9">
                  <c:v>15</c:v>
                </c:pt>
                <c:pt idx="10">
                  <c:v>7</c:v>
                </c:pt>
                <c:pt idx="11">
                  <c:v>7</c:v>
                </c:pt>
                <c:pt idx="12">
                  <c:v>2</c:v>
                </c:pt>
              </c:numCache>
            </c:numRef>
          </c:val>
        </c:ser>
        <c:ser>
          <c:idx val="1"/>
          <c:order val="1"/>
          <c:tx>
            <c:strRef>
              <c:f>Sheet1!$C$74:$C$75</c:f>
              <c:strCache>
                <c:ptCount val="1"/>
                <c:pt idx="0">
                  <c:v> PAYEE TYPES # CLIENTS 2014</c:v>
                </c:pt>
              </c:strCache>
            </c:strRef>
          </c:tx>
          <c:cat>
            <c:strRef>
              <c:f>Sheet1!$A$76:$A$88</c:f>
              <c:strCache>
                <c:ptCount val="13"/>
                <c:pt idx="0">
                  <c:v>Medicaid - DMH  244</c:v>
                </c:pt>
                <c:pt idx="1">
                  <c:v>Private Pay  115</c:v>
                </c:pt>
                <c:pt idx="2">
                  <c:v>Medicaid - SASS  112</c:v>
                </c:pt>
                <c:pt idx="3">
                  <c:v>Medicaid - DD</c:v>
                </c:pt>
                <c:pt idx="4">
                  <c:v>Medicare/Medicaid</c:v>
                </c:pt>
                <c:pt idx="5">
                  <c:v>Medicaid - OASA</c:v>
                </c:pt>
                <c:pt idx="6">
                  <c:v>Grants  </c:v>
                </c:pt>
                <c:pt idx="7">
                  <c:v>Insurance</c:v>
                </c:pt>
                <c:pt idx="8">
                  <c:v>Other </c:v>
                </c:pt>
                <c:pt idx="9">
                  <c:v>TPL / Ins Medicaid</c:v>
                </c:pt>
                <c:pt idx="10">
                  <c:v>Medicare Only</c:v>
                </c:pt>
                <c:pt idx="11">
                  <c:v>Medicare  / Insurance</c:v>
                </c:pt>
                <c:pt idx="12">
                  <c:v>Managed Care </c:v>
                </c:pt>
              </c:strCache>
            </c:strRef>
          </c:cat>
          <c:val>
            <c:numRef>
              <c:f>Sheet1!$C$76:$C$88</c:f>
              <c:numCache>
                <c:formatCode>General</c:formatCode>
                <c:ptCount val="13"/>
                <c:pt idx="0">
                  <c:v>363</c:v>
                </c:pt>
                <c:pt idx="1">
                  <c:v>132</c:v>
                </c:pt>
                <c:pt idx="2">
                  <c:v>114</c:v>
                </c:pt>
                <c:pt idx="3">
                  <c:v>95</c:v>
                </c:pt>
                <c:pt idx="4">
                  <c:v>92</c:v>
                </c:pt>
                <c:pt idx="5">
                  <c:v>50</c:v>
                </c:pt>
                <c:pt idx="6">
                  <c:v>37</c:v>
                </c:pt>
                <c:pt idx="7">
                  <c:v>20</c:v>
                </c:pt>
                <c:pt idx="8">
                  <c:v>15</c:v>
                </c:pt>
                <c:pt idx="9">
                  <c:v>13</c:v>
                </c:pt>
                <c:pt idx="10">
                  <c:v>10</c:v>
                </c:pt>
                <c:pt idx="11">
                  <c:v>10</c:v>
                </c:pt>
                <c:pt idx="12">
                  <c:v>0</c:v>
                </c:pt>
              </c:numCache>
            </c:numRef>
          </c:val>
        </c:ser>
        <c:dLbls>
          <c:showVal val="1"/>
        </c:dLbls>
        <c:shape val="cylinder"/>
        <c:axId val="51951488"/>
        <c:axId val="51953024"/>
        <c:axId val="0"/>
      </c:bar3DChart>
      <c:catAx>
        <c:axId val="51951488"/>
        <c:scaling>
          <c:orientation val="minMax"/>
        </c:scaling>
        <c:axPos val="l"/>
        <c:majorTickMark val="none"/>
        <c:tickLblPos val="nextTo"/>
        <c:crossAx val="51953024"/>
        <c:crosses val="autoZero"/>
        <c:auto val="1"/>
        <c:lblAlgn val="ctr"/>
        <c:lblOffset val="100"/>
      </c:catAx>
      <c:valAx>
        <c:axId val="51953024"/>
        <c:scaling>
          <c:orientation val="minMax"/>
        </c:scaling>
        <c:delete val="1"/>
        <c:axPos val="b"/>
        <c:numFmt formatCode="General" sourceLinked="1"/>
        <c:tickLblPos val="none"/>
        <c:crossAx val="51951488"/>
        <c:crosses val="autoZero"/>
        <c:crossBetween val="between"/>
      </c:valAx>
    </c:plotArea>
    <c:legend>
      <c:legendPos val="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CLIENT</a:t>
            </a:r>
            <a:r>
              <a:rPr lang="en-US" baseline="0"/>
              <a:t> SERVED BY PROGRAM</a:t>
            </a:r>
            <a:endParaRPr lang="en-US"/>
          </a:p>
        </c:rich>
      </c:tx>
      <c:layout/>
    </c:title>
    <c:plotArea>
      <c:layout/>
      <c:lineChart>
        <c:grouping val="standard"/>
        <c:ser>
          <c:idx val="0"/>
          <c:order val="0"/>
          <c:cat>
            <c:strRef>
              <c:f>Sheet1!$A$204:$A$220</c:f>
              <c:strCache>
                <c:ptCount val="17"/>
                <c:pt idx="0">
                  <c:v>CLIENTS SERVED BY PROGRAM</c:v>
                </c:pt>
                <c:pt idx="1">
                  <c:v>310</c:v>
                </c:pt>
                <c:pt idx="2">
                  <c:v>60D, DI, DF </c:v>
                </c:pt>
                <c:pt idx="3">
                  <c:v>HBS</c:v>
                </c:pt>
                <c:pt idx="4">
                  <c:v>31U</c:v>
                </c:pt>
                <c:pt idx="5">
                  <c:v>BH 120P</c:v>
                </c:pt>
                <c:pt idx="6">
                  <c:v>HY</c:v>
                </c:pt>
                <c:pt idx="7">
                  <c:v>110P</c:v>
                </c:pt>
                <c:pt idx="8">
                  <c:v>CSR</c:v>
                </c:pt>
                <c:pt idx="9">
                  <c:v>PII, IPS</c:v>
                </c:pt>
                <c:pt idx="10">
                  <c:v>PSYCH</c:v>
                </c:pt>
                <c:pt idx="11">
                  <c:v>CCBYS</c:v>
                </c:pt>
                <c:pt idx="12">
                  <c:v>MICI </c:v>
                </c:pt>
                <c:pt idx="13">
                  <c:v>ASA</c:v>
                </c:pt>
                <c:pt idx="14">
                  <c:v>SASS</c:v>
                </c:pt>
                <c:pt idx="15">
                  <c:v>MIOA</c:v>
                </c:pt>
                <c:pt idx="16">
                  <c:v>MIOY</c:v>
                </c:pt>
              </c:strCache>
            </c:strRef>
          </c:cat>
          <c:val>
            <c:numRef>
              <c:f>Sheet1!$B$204:$B$220</c:f>
              <c:numCache>
                <c:formatCode>General</c:formatCode>
                <c:ptCount val="17"/>
                <c:pt idx="1">
                  <c:v>25</c:v>
                </c:pt>
                <c:pt idx="2">
                  <c:v>37</c:v>
                </c:pt>
                <c:pt idx="3">
                  <c:v>49</c:v>
                </c:pt>
                <c:pt idx="4">
                  <c:v>70</c:v>
                </c:pt>
                <c:pt idx="5">
                  <c:v>4</c:v>
                </c:pt>
                <c:pt idx="6">
                  <c:v>6</c:v>
                </c:pt>
                <c:pt idx="7">
                  <c:v>10</c:v>
                </c:pt>
                <c:pt idx="8">
                  <c:v>10</c:v>
                </c:pt>
                <c:pt idx="9">
                  <c:v>19</c:v>
                </c:pt>
                <c:pt idx="10">
                  <c:v>27</c:v>
                </c:pt>
                <c:pt idx="11">
                  <c:v>50</c:v>
                </c:pt>
                <c:pt idx="12">
                  <c:v>93</c:v>
                </c:pt>
                <c:pt idx="13">
                  <c:v>111</c:v>
                </c:pt>
                <c:pt idx="14">
                  <c:v>169</c:v>
                </c:pt>
                <c:pt idx="15">
                  <c:v>280</c:v>
                </c:pt>
                <c:pt idx="16">
                  <c:v>282</c:v>
                </c:pt>
              </c:numCache>
            </c:numRef>
          </c:val>
        </c:ser>
        <c:marker val="1"/>
        <c:axId val="73014272"/>
        <c:axId val="73028352"/>
      </c:lineChart>
      <c:catAx>
        <c:axId val="73014272"/>
        <c:scaling>
          <c:orientation val="minMax"/>
        </c:scaling>
        <c:axPos val="b"/>
        <c:majorTickMark val="none"/>
        <c:tickLblPos val="nextTo"/>
        <c:crossAx val="73028352"/>
        <c:crosses val="autoZero"/>
        <c:auto val="1"/>
        <c:lblAlgn val="ctr"/>
        <c:lblOffset val="100"/>
      </c:catAx>
      <c:valAx>
        <c:axId val="73028352"/>
        <c:scaling>
          <c:orientation val="minMax"/>
        </c:scaling>
        <c:axPos val="l"/>
        <c:majorGridlines/>
        <c:numFmt formatCode="General" sourceLinked="1"/>
        <c:majorTickMark val="none"/>
        <c:tickLblPos val="nextTo"/>
        <c:crossAx val="73014272"/>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Sheet1!$B$98</c:f>
              <c:strCache>
                <c:ptCount val="1"/>
                <c:pt idx="0">
                  <c:v>2015</c:v>
                </c:pt>
              </c:strCache>
            </c:strRef>
          </c:tx>
          <c:cat>
            <c:strRef>
              <c:f>Sheet1!$A$99:$A$112</c:f>
              <c:strCache>
                <c:ptCount val="14"/>
                <c:pt idx="0">
                  <c:v>CCBYS</c:v>
                </c:pt>
                <c:pt idx="1">
                  <c:v>MIOY </c:v>
                </c:pt>
                <c:pt idx="2">
                  <c:v>PSR</c:v>
                </c:pt>
                <c:pt idx="3">
                  <c:v>CSR  </c:v>
                </c:pt>
                <c:pt idx="4">
                  <c:v>HBS </c:v>
                </c:pt>
                <c:pt idx="5">
                  <c:v>MIOA </c:v>
                </c:pt>
                <c:pt idx="6">
                  <c:v>CILA ETH</c:v>
                </c:pt>
                <c:pt idx="7">
                  <c:v>SASS </c:v>
                </c:pt>
                <c:pt idx="8">
                  <c:v>ASA </c:v>
                </c:pt>
                <c:pt idx="9">
                  <c:v>DT JCDT  </c:v>
                </c:pt>
                <c:pt idx="10">
                  <c:v>DT  PCWS </c:v>
                </c:pt>
                <c:pt idx="11">
                  <c:v>CILA ORH</c:v>
                </c:pt>
                <c:pt idx="12">
                  <c:v>CILA HTH </c:v>
                </c:pt>
                <c:pt idx="13">
                  <c:v>CILA CRH </c:v>
                </c:pt>
              </c:strCache>
            </c:strRef>
          </c:cat>
          <c:val>
            <c:numRef>
              <c:f>Sheet1!$B$99:$B$112</c:f>
              <c:numCache>
                <c:formatCode>0%</c:formatCode>
                <c:ptCount val="14"/>
                <c:pt idx="0">
                  <c:v>0.8</c:v>
                </c:pt>
                <c:pt idx="1">
                  <c:v>0.85000000000000064</c:v>
                </c:pt>
                <c:pt idx="2">
                  <c:v>0.9</c:v>
                </c:pt>
                <c:pt idx="3">
                  <c:v>0.92</c:v>
                </c:pt>
                <c:pt idx="4">
                  <c:v>0.95000000000000062</c:v>
                </c:pt>
                <c:pt idx="5">
                  <c:v>0.96000000000000063</c:v>
                </c:pt>
                <c:pt idx="6">
                  <c:v>0.96000000000000063</c:v>
                </c:pt>
                <c:pt idx="7">
                  <c:v>0.98</c:v>
                </c:pt>
                <c:pt idx="8">
                  <c:v>0.99</c:v>
                </c:pt>
                <c:pt idx="9">
                  <c:v>1</c:v>
                </c:pt>
                <c:pt idx="10">
                  <c:v>1</c:v>
                </c:pt>
                <c:pt idx="11">
                  <c:v>1</c:v>
                </c:pt>
                <c:pt idx="12">
                  <c:v>1</c:v>
                </c:pt>
                <c:pt idx="13">
                  <c:v>1</c:v>
                </c:pt>
              </c:numCache>
            </c:numRef>
          </c:val>
        </c:ser>
        <c:ser>
          <c:idx val="1"/>
          <c:order val="1"/>
          <c:tx>
            <c:strRef>
              <c:f>Sheet1!$C$98</c:f>
              <c:strCache>
                <c:ptCount val="1"/>
                <c:pt idx="0">
                  <c:v>2014</c:v>
                </c:pt>
              </c:strCache>
            </c:strRef>
          </c:tx>
          <c:spPr>
            <a:solidFill>
              <a:schemeClr val="accent4">
                <a:lumMod val="60000"/>
                <a:lumOff val="40000"/>
              </a:schemeClr>
            </a:solidFill>
          </c:spPr>
          <c:cat>
            <c:strRef>
              <c:f>Sheet1!$A$99:$A$112</c:f>
              <c:strCache>
                <c:ptCount val="14"/>
                <c:pt idx="0">
                  <c:v>CCBYS</c:v>
                </c:pt>
                <c:pt idx="1">
                  <c:v>MIOY </c:v>
                </c:pt>
                <c:pt idx="2">
                  <c:v>PSR</c:v>
                </c:pt>
                <c:pt idx="3">
                  <c:v>CSR  </c:v>
                </c:pt>
                <c:pt idx="4">
                  <c:v>HBS </c:v>
                </c:pt>
                <c:pt idx="5">
                  <c:v>MIOA </c:v>
                </c:pt>
                <c:pt idx="6">
                  <c:v>CILA ETH</c:v>
                </c:pt>
                <c:pt idx="7">
                  <c:v>SASS </c:v>
                </c:pt>
                <c:pt idx="8">
                  <c:v>ASA </c:v>
                </c:pt>
                <c:pt idx="9">
                  <c:v>DT JCDT  </c:v>
                </c:pt>
                <c:pt idx="10">
                  <c:v>DT  PCWS </c:v>
                </c:pt>
                <c:pt idx="11">
                  <c:v>CILA ORH</c:v>
                </c:pt>
                <c:pt idx="12">
                  <c:v>CILA HTH </c:v>
                </c:pt>
                <c:pt idx="13">
                  <c:v>CILA CRH </c:v>
                </c:pt>
              </c:strCache>
            </c:strRef>
          </c:cat>
          <c:val>
            <c:numRef>
              <c:f>Sheet1!$C$99:$C$112</c:f>
              <c:numCache>
                <c:formatCode>0%</c:formatCode>
                <c:ptCount val="14"/>
                <c:pt idx="0">
                  <c:v>1</c:v>
                </c:pt>
                <c:pt idx="1">
                  <c:v>0.94000000000000061</c:v>
                </c:pt>
                <c:pt idx="2">
                  <c:v>0.96000000000000063</c:v>
                </c:pt>
                <c:pt idx="3">
                  <c:v>0.91</c:v>
                </c:pt>
                <c:pt idx="4">
                  <c:v>0.8</c:v>
                </c:pt>
                <c:pt idx="5">
                  <c:v>0.99</c:v>
                </c:pt>
                <c:pt idx="6">
                  <c:v>1</c:v>
                </c:pt>
                <c:pt idx="7">
                  <c:v>0.89</c:v>
                </c:pt>
                <c:pt idx="8">
                  <c:v>0.95000000000000062</c:v>
                </c:pt>
                <c:pt idx="9">
                  <c:v>0.99</c:v>
                </c:pt>
                <c:pt idx="10">
                  <c:v>0.95000000000000062</c:v>
                </c:pt>
                <c:pt idx="11">
                  <c:v>1</c:v>
                </c:pt>
                <c:pt idx="12">
                  <c:v>1</c:v>
                </c:pt>
                <c:pt idx="13">
                  <c:v>0</c:v>
                </c:pt>
              </c:numCache>
            </c:numRef>
          </c:val>
        </c:ser>
        <c:axId val="73063808"/>
        <c:axId val="73069696"/>
      </c:barChart>
      <c:catAx>
        <c:axId val="73063808"/>
        <c:scaling>
          <c:orientation val="minMax"/>
        </c:scaling>
        <c:axPos val="b"/>
        <c:tickLblPos val="nextTo"/>
        <c:crossAx val="73069696"/>
        <c:crosses val="autoZero"/>
        <c:auto val="1"/>
        <c:lblAlgn val="ctr"/>
        <c:lblOffset val="100"/>
      </c:catAx>
      <c:valAx>
        <c:axId val="73069696"/>
        <c:scaling>
          <c:orientation val="minMax"/>
          <c:max val="1"/>
        </c:scaling>
        <c:axPos val="l"/>
        <c:majorGridlines/>
        <c:numFmt formatCode="0%" sourceLinked="1"/>
        <c:tickLblPos val="nextTo"/>
        <c:crossAx val="73063808"/>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0.93636</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943225"/>
          <a:ext cx="4572000" cy="20002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E0F66-D36E-41A1-95C1-281F2E0D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connie.duncan</dc:creator>
  <cp:lastModifiedBy>connie.duncan</cp:lastModifiedBy>
  <cp:revision>19</cp:revision>
  <cp:lastPrinted>2016-01-10T04:23:00Z</cp:lastPrinted>
  <dcterms:created xsi:type="dcterms:W3CDTF">2015-11-24T21:32:00Z</dcterms:created>
  <dcterms:modified xsi:type="dcterms:W3CDTF">2016-02-17T19:34:00Z</dcterms:modified>
</cp:coreProperties>
</file>